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53CC0" w14:textId="0C71A9D5" w:rsidR="0005441E" w:rsidRDefault="002075EA" w:rsidP="0005441E">
      <w:pPr>
        <w:tabs>
          <w:tab w:val="left" w:pos="8505"/>
        </w:tabs>
        <w:spacing w:after="0"/>
        <w:ind w:right="-754"/>
        <w:rPr>
          <w:rFonts w:cs="Times New Roman"/>
          <w:b/>
          <w:bCs/>
          <w:lang w:val="fr"/>
        </w:rPr>
      </w:pPr>
      <w:bookmarkStart w:id="0" w:name="OLE_LINK1"/>
      <w:bookmarkStart w:id="1" w:name="OLE_LINK2"/>
      <w:r>
        <w:rPr>
          <w:rFonts w:cs="Times New Roman"/>
          <w:b/>
          <w:bCs/>
          <w:lang w:val="fr"/>
        </w:rPr>
        <w:t>TREI</w:t>
      </w:r>
      <w:r w:rsidR="0005441E">
        <w:rPr>
          <w:rFonts w:cs="Times New Roman"/>
          <w:b/>
          <w:bCs/>
          <w:lang w:val="fr"/>
        </w:rPr>
        <w:t xml:space="preserve">ZIÈME RÉUNION DES MINISTRES </w:t>
      </w:r>
    </w:p>
    <w:p w14:paraId="0EB7C8BD" w14:textId="5AE76420" w:rsidR="0005441E" w:rsidRPr="006E1864" w:rsidRDefault="0005441E" w:rsidP="0038645C">
      <w:pPr>
        <w:tabs>
          <w:tab w:val="left" w:pos="8505"/>
        </w:tabs>
        <w:spacing w:after="0"/>
        <w:ind w:right="-754"/>
        <w:rPr>
          <w:rFonts w:eastAsia="Malgun Gothic" w:cs="Times New Roman"/>
          <w:b/>
          <w:lang w:val="fr-FR"/>
        </w:rPr>
      </w:pPr>
      <w:r>
        <w:rPr>
          <w:rFonts w:cs="Times New Roman"/>
          <w:b/>
          <w:bCs/>
          <w:lang w:val="fr"/>
        </w:rPr>
        <w:t xml:space="preserve">DE LA SANTÉ DES PAYS OCÉANIENS                                           </w:t>
      </w:r>
      <w:r w:rsidR="0038645C" w:rsidRPr="0038645C">
        <w:rPr>
          <w:rFonts w:cs="Times New Roman"/>
          <w:b/>
          <w:bCs/>
          <w:lang w:val="fr"/>
        </w:rPr>
        <w:t>PIC13/S4/4</w:t>
      </w:r>
      <w:r w:rsidR="0038645C" w:rsidRPr="0038645C">
        <w:rPr>
          <w:rFonts w:cs="Times New Roman"/>
          <w:b/>
          <w:bCs/>
          <w:lang w:val="fr"/>
        </w:rPr>
        <w:tab/>
      </w:r>
      <w:r w:rsidRPr="006E1864">
        <w:rPr>
          <w:rFonts w:eastAsia="Malgun Gothic" w:cs="Times New Roman"/>
          <w:b/>
          <w:bCs/>
          <w:lang w:val="fr"/>
        </w:rPr>
        <w:tab/>
      </w:r>
      <w:r>
        <w:rPr>
          <w:rFonts w:eastAsia="Malgun Gothic" w:cs="Times New Roman"/>
          <w:b/>
          <w:bCs/>
          <w:lang w:val="fr"/>
        </w:rPr>
        <w:t xml:space="preserve">                                   </w:t>
      </w:r>
    </w:p>
    <w:p w14:paraId="3B9CA200" w14:textId="650F61F0" w:rsidR="0005441E" w:rsidRPr="006E1864" w:rsidRDefault="00B11040" w:rsidP="0005441E">
      <w:pPr>
        <w:tabs>
          <w:tab w:val="left" w:pos="8505"/>
        </w:tabs>
        <w:spacing w:after="0"/>
        <w:ind w:right="-754"/>
        <w:rPr>
          <w:rFonts w:eastAsia="Malgun Gothic" w:cs="Times New Roman"/>
          <w:lang w:val="fr-FR"/>
        </w:rPr>
      </w:pPr>
      <w:r w:rsidRPr="00B11040">
        <w:rPr>
          <w:rFonts w:eastAsia="Malgun Gothic" w:cs="Times New Roman"/>
          <w:b/>
          <w:bCs/>
          <w:lang w:val="fr"/>
        </w:rPr>
        <w:t>Papeete</w:t>
      </w:r>
      <w:r w:rsidR="00C13E75">
        <w:rPr>
          <w:rFonts w:eastAsia="Malgun Gothic" w:cs="Times New Roman"/>
          <w:b/>
          <w:bCs/>
          <w:lang w:val="fr"/>
        </w:rPr>
        <w:t xml:space="preserve"> (Polynésie française</w:t>
      </w:r>
      <w:r w:rsidR="0005441E">
        <w:rPr>
          <w:rFonts w:eastAsia="Malgun Gothic" w:cs="Times New Roman"/>
          <w:b/>
          <w:bCs/>
          <w:lang w:val="fr"/>
        </w:rPr>
        <w:t xml:space="preserve">)                                            </w:t>
      </w:r>
      <w:r w:rsidR="002075EA">
        <w:rPr>
          <w:rFonts w:eastAsia="Malgun Gothic" w:cs="Times New Roman"/>
          <w:b/>
          <w:bCs/>
          <w:lang w:val="fr"/>
        </w:rPr>
        <w:t xml:space="preserve">                  </w:t>
      </w:r>
      <w:r>
        <w:rPr>
          <w:rFonts w:eastAsia="Malgun Gothic" w:cs="Times New Roman"/>
          <w:b/>
          <w:bCs/>
          <w:lang w:val="fr"/>
        </w:rPr>
        <w:t xml:space="preserve"> </w:t>
      </w:r>
      <w:r w:rsidR="00204055">
        <w:rPr>
          <w:rFonts w:eastAsia="Malgun Gothic" w:cs="Times New Roman"/>
          <w:b/>
          <w:bCs/>
          <w:lang w:val="fr"/>
        </w:rPr>
        <w:t xml:space="preserve"> </w:t>
      </w:r>
      <w:r>
        <w:rPr>
          <w:rFonts w:eastAsia="Malgun Gothic" w:cs="Times New Roman"/>
          <w:b/>
          <w:bCs/>
          <w:lang w:val="fr"/>
        </w:rPr>
        <w:t xml:space="preserve"> </w:t>
      </w:r>
      <w:r w:rsidR="002075EA">
        <w:rPr>
          <w:rFonts w:eastAsia="Malgun Gothic" w:cs="Times New Roman"/>
          <w:b/>
          <w:bCs/>
          <w:lang w:val="fr"/>
        </w:rPr>
        <w:t>11 juin 2019</w:t>
      </w:r>
    </w:p>
    <w:p w14:paraId="0426DCD0" w14:textId="65E351A2" w:rsidR="00091380" w:rsidRPr="002075EA" w:rsidRDefault="002075EA" w:rsidP="0005441E">
      <w:pPr>
        <w:tabs>
          <w:tab w:val="left" w:pos="6300"/>
        </w:tabs>
        <w:spacing w:after="0"/>
        <w:rPr>
          <w:rFonts w:eastAsia="Malgun Gothic" w:cs="Times New Roman"/>
          <w:b/>
          <w:lang w:val="fr-FR" w:eastAsia="ko-KR"/>
        </w:rPr>
      </w:pPr>
      <w:r>
        <w:rPr>
          <w:rFonts w:eastAsia="Malgun Gothic" w:cs="Times New Roman"/>
          <w:b/>
          <w:bCs/>
          <w:lang w:val="fr"/>
        </w:rPr>
        <w:t>06–08 août 2019</w:t>
      </w:r>
      <w:r w:rsidR="00B11040">
        <w:rPr>
          <w:rFonts w:eastAsia="Malgun Gothic" w:cs="Times New Roman"/>
          <w:lang w:val="fr"/>
        </w:rPr>
        <w:tab/>
      </w:r>
      <w:r w:rsidR="0005441E">
        <w:rPr>
          <w:rFonts w:eastAsia="Malgun Gothic" w:cs="Times New Roman"/>
          <w:b/>
          <w:bCs/>
          <w:lang w:val="fr"/>
        </w:rPr>
        <w:t>ORIGINAL : ANGLAIS</w:t>
      </w:r>
    </w:p>
    <w:p w14:paraId="66A639DF" w14:textId="37F4F886" w:rsidR="00C43050" w:rsidRPr="00FB165F" w:rsidRDefault="004E78FA" w:rsidP="00FB165F">
      <w:pPr>
        <w:pStyle w:val="Heading1"/>
        <w:rPr>
          <w:b w:val="0"/>
          <w:lang w:val="fr-FR"/>
        </w:rPr>
      </w:pPr>
      <w:r w:rsidRPr="00FB165F">
        <w:rPr>
          <w:lang w:val="fr-FR"/>
        </w:rPr>
        <w:t>RÉSEAU OCÉANIEN POUR METTRE FIN À L'OBÉSITÉ DE L'ENFANT : RAPPORT DE SITUATION SUR LES PROGRÈS RÉALISÉS</w:t>
      </w:r>
    </w:p>
    <w:p w14:paraId="689A52DB" w14:textId="5451F1FB" w:rsidR="004F503D" w:rsidRPr="004F503D" w:rsidRDefault="004F503D" w:rsidP="009F012F">
      <w:pPr>
        <w:pStyle w:val="boxedsummary"/>
        <w:pBdr>
          <w:top w:val="single" w:sz="6" w:space="17" w:color="auto"/>
        </w:pBdr>
        <w:ind w:firstLine="648"/>
        <w:rPr>
          <w:lang w:val="fr-FR"/>
        </w:rPr>
      </w:pPr>
      <w:r w:rsidRPr="004F503D">
        <w:rPr>
          <w:lang w:val="fr-FR"/>
        </w:rPr>
        <w:t>Reconnaissant les nouvelles préoccupations suscitées par l'obésité de l'enfant qui frappe l'Océanie et entrave la réussite du concept d'îles-santé, les directeurs océaniens de la santé ont approuvé e</w:t>
      </w:r>
      <w:r w:rsidR="00D554E0">
        <w:rPr>
          <w:lang w:val="fr-FR"/>
        </w:rPr>
        <w:t>n 2</w:t>
      </w:r>
      <w:r w:rsidRPr="004F503D">
        <w:rPr>
          <w:lang w:val="fr-FR"/>
        </w:rPr>
        <w:t xml:space="preserve">018 la mise en place du Réseau océanien pour mettre fin à l'obésité de l'enfant, conduit par les </w:t>
      </w:r>
      <w:r w:rsidR="00D554E0">
        <w:rPr>
          <w:lang w:val="fr-FR"/>
        </w:rPr>
        <w:t>États Membres</w:t>
      </w:r>
      <w:r w:rsidRPr="004F503D">
        <w:rPr>
          <w:lang w:val="fr-FR"/>
        </w:rPr>
        <w:t xml:space="preserve">, visant à soutenir les interventions dans trois domaines d'action prioritaires : activité physique, mesures fiscales et commercialisation limitée des aliments  et des boissons non alcoolisées nocifs pour la santé et destinés aux enfants. </w:t>
      </w:r>
    </w:p>
    <w:p w14:paraId="093FCD55" w14:textId="25EDEEBC" w:rsidR="004F503D" w:rsidRDefault="00D554E0" w:rsidP="009F012F">
      <w:pPr>
        <w:pStyle w:val="boxedsummary"/>
        <w:pBdr>
          <w:top w:val="single" w:sz="6" w:space="17" w:color="auto"/>
        </w:pBdr>
        <w:ind w:firstLine="648"/>
        <w:rPr>
          <w:lang w:val="fr-FR"/>
        </w:rPr>
      </w:pPr>
      <w:r>
        <w:rPr>
          <w:lang w:val="fr-FR"/>
        </w:rPr>
        <w:t xml:space="preserve">Dix-neuf États et Territoires insulaires du Pacifique </w:t>
      </w:r>
      <w:r w:rsidR="004F503D" w:rsidRPr="004F503D">
        <w:rPr>
          <w:lang w:val="fr-FR"/>
        </w:rPr>
        <w:t xml:space="preserve">ont validé les candidats nationaux en tant que représentants du Réseau océanien pour mettre fin à l'obésité de l'enfant pour les trois groupes de travail établis au sein du réseau avec l'engagement de soutenir ces trois domaines d'action prioritaires.   </w:t>
      </w:r>
    </w:p>
    <w:p w14:paraId="48319D34" w14:textId="77777777" w:rsidR="0038645C" w:rsidRDefault="00DE34E9" w:rsidP="00D07786">
      <w:pPr>
        <w:pStyle w:val="boxedsummary"/>
        <w:pBdr>
          <w:top w:val="single" w:sz="6" w:space="17" w:color="auto"/>
        </w:pBdr>
        <w:ind w:firstLine="648"/>
        <w:rPr>
          <w:lang w:val="fr-FR"/>
        </w:rPr>
      </w:pPr>
      <w:r w:rsidRPr="00FB165F">
        <w:rPr>
          <w:lang w:val="fr-FR"/>
        </w:rPr>
        <w:t xml:space="preserve">Afin de prioriser le réseau océanien pour mettre fin à l'obésité de l'enfant à l'échelon régional, les gouvernements doivent accélérer une action collective et concertée. </w:t>
      </w:r>
    </w:p>
    <w:p w14:paraId="6F29E0E2" w14:textId="3268BFCA" w:rsidR="00DE34E9" w:rsidRPr="00D07786" w:rsidRDefault="00DE34E9" w:rsidP="00D07786">
      <w:pPr>
        <w:pStyle w:val="boxedsummary"/>
        <w:pBdr>
          <w:top w:val="single" w:sz="6" w:space="17" w:color="auto"/>
        </w:pBdr>
        <w:ind w:firstLine="648"/>
        <w:rPr>
          <w:rFonts w:eastAsia="Calibri"/>
          <w:szCs w:val="22"/>
          <w:lang w:val="fr-FR" w:eastAsia="en-AU"/>
        </w:rPr>
      </w:pPr>
      <w:bookmarkStart w:id="2" w:name="_GoBack"/>
      <w:bookmarkEnd w:id="2"/>
      <w:r w:rsidRPr="00FB165F">
        <w:rPr>
          <w:lang w:val="fr-FR"/>
        </w:rPr>
        <w:t>Les ministres de la santé des pays océaniens sont invités à i) s'assurer que les pays insulaires du Pacifique intègrent leurs actions pour lutter contre l'obésité de l'enfant dans leurs plans multisectoriels de lutte contre les MNT ou dans leurs plans nationaux, avec des indicateurs et des délais impartis clairement définis ; ii) soutenir les priorités définies en matière d'activité physique, de mesures fiscales et de commercialisation limitée des aliments et boissons non alcoolisées destinés aux enfants en accord avec les avancées du plan des a</w:t>
      </w:r>
      <w:r w:rsidR="002556A7">
        <w:rPr>
          <w:lang w:val="fr-FR"/>
        </w:rPr>
        <w:t>ctions de la réunion de février </w:t>
      </w:r>
      <w:r w:rsidRPr="00FB165F">
        <w:rPr>
          <w:lang w:val="fr-FR"/>
        </w:rPr>
        <w:t xml:space="preserve">2019 ; et iii) s'engager à soutenir et à maintenir une </w:t>
      </w:r>
      <w:r w:rsidRPr="00FB165F">
        <w:rPr>
          <w:lang w:val="fr-FR"/>
        </w:rPr>
        <w:lastRenderedPageBreak/>
        <w:t>collaboration multisectorielle active au plan national sur la question de l'obésité de l'enfant pour impulser les initiatives pour l'année prochaine.</w:t>
      </w:r>
    </w:p>
    <w:p w14:paraId="03A6C3AC" w14:textId="2BBB1D97" w:rsidR="00820E7B" w:rsidRPr="00FB165F" w:rsidRDefault="00261CB5">
      <w:pPr>
        <w:pStyle w:val="Heading1"/>
        <w:rPr>
          <w:b w:val="0"/>
          <w:bCs w:val="0"/>
          <w:lang w:val="fr-FR"/>
        </w:rPr>
      </w:pPr>
      <w:r w:rsidRPr="00FB165F">
        <w:rPr>
          <w:lang w:val="fr-FR"/>
        </w:rPr>
        <w:t xml:space="preserve"> </w:t>
      </w:r>
      <w:bookmarkEnd w:id="0"/>
      <w:bookmarkEnd w:id="1"/>
      <w:r w:rsidR="006C5D3F" w:rsidRPr="00FB165F">
        <w:rPr>
          <w:lang w:val="fr-FR"/>
        </w:rPr>
        <w:t>1. CONTEXTE</w:t>
      </w:r>
    </w:p>
    <w:p w14:paraId="61683A52" w14:textId="77777777" w:rsidR="006C5D3F" w:rsidRPr="00FB165F" w:rsidRDefault="006C5D3F" w:rsidP="00FB165F">
      <w:pPr>
        <w:pStyle w:val="Heading1"/>
        <w:jc w:val="both"/>
        <w:rPr>
          <w:rFonts w:eastAsiaTheme="minorEastAsia" w:cstheme="minorBidi"/>
          <w:b w:val="0"/>
          <w:bCs w:val="0"/>
          <w:caps w:val="0"/>
          <w:color w:val="auto"/>
          <w:szCs w:val="22"/>
          <w:lang w:val="fr-FR"/>
        </w:rPr>
      </w:pPr>
      <w:r w:rsidRPr="00FB165F">
        <w:rPr>
          <w:rFonts w:eastAsiaTheme="minorEastAsia" w:cstheme="minorBidi"/>
          <w:b w:val="0"/>
          <w:bCs w:val="0"/>
          <w:caps w:val="0"/>
          <w:color w:val="auto"/>
          <w:szCs w:val="22"/>
          <w:lang w:val="fr-FR"/>
        </w:rPr>
        <w:t>Le surpoids et l'obésité de l'enfant sont de nouveaux sujets de préoccupation qui sapent le développement social et économique de nombreux États et Territoires insulaires du Pacifique. La prévalence croissante de l'obésité de l'enfant est favorisée par les changements de modes de vie telles que des périodes plus longues passées devant des écrans et d'autres comportements sédentaires, ainsi qu'une évolution au sein des environnements alimentaires en faveur d'aliments et de boissons nocifs pour la santé, moins coûteux, aisément accessibles et soutenus par une stratégie commerciale forte.</w:t>
      </w:r>
    </w:p>
    <w:p w14:paraId="76923ADF" w14:textId="36B73C8F" w:rsidR="006C5D3F" w:rsidRPr="00FB165F" w:rsidRDefault="006C5D3F" w:rsidP="00FB165F">
      <w:pPr>
        <w:pStyle w:val="Heading1"/>
        <w:jc w:val="both"/>
        <w:rPr>
          <w:rFonts w:eastAsiaTheme="minorEastAsia" w:cstheme="minorBidi"/>
          <w:b w:val="0"/>
          <w:bCs w:val="0"/>
          <w:caps w:val="0"/>
          <w:color w:val="auto"/>
          <w:szCs w:val="22"/>
          <w:lang w:val="fr-FR"/>
        </w:rPr>
      </w:pPr>
      <w:r w:rsidRPr="00FB165F">
        <w:rPr>
          <w:rFonts w:eastAsiaTheme="minorEastAsia" w:cstheme="minorBidi"/>
          <w:b w:val="0"/>
          <w:bCs w:val="0"/>
          <w:caps w:val="0"/>
          <w:color w:val="auto"/>
          <w:szCs w:val="22"/>
          <w:lang w:val="fr-FR"/>
        </w:rPr>
        <w:t>E</w:t>
      </w:r>
      <w:r w:rsidR="00D554E0">
        <w:rPr>
          <w:rFonts w:eastAsiaTheme="minorEastAsia" w:cstheme="minorBidi"/>
          <w:b w:val="0"/>
          <w:bCs w:val="0"/>
          <w:caps w:val="0"/>
          <w:color w:val="auto"/>
          <w:szCs w:val="22"/>
          <w:lang w:val="fr-FR"/>
        </w:rPr>
        <w:t>n 2</w:t>
      </w:r>
      <w:r w:rsidRPr="00FB165F">
        <w:rPr>
          <w:rFonts w:eastAsiaTheme="minorEastAsia" w:cstheme="minorBidi"/>
          <w:b w:val="0"/>
          <w:bCs w:val="0"/>
          <w:caps w:val="0"/>
          <w:color w:val="auto"/>
          <w:szCs w:val="22"/>
          <w:lang w:val="fr-FR"/>
        </w:rPr>
        <w:t xml:space="preserve">018, en réponse au fardeau croissant de l'obésité de l'enfant et en ligne avec le concept d'îles santé et les objectifs de développement durable, les directeurs océaniens de la santé ont approuvé la mise en place du Réseau océanien pour mettre fin à l'obésité de l'enfant, conduit par les </w:t>
      </w:r>
      <w:r w:rsidR="00D554E0">
        <w:rPr>
          <w:rFonts w:eastAsiaTheme="minorEastAsia" w:cstheme="minorBidi"/>
          <w:b w:val="0"/>
          <w:bCs w:val="0"/>
          <w:caps w:val="0"/>
          <w:color w:val="auto"/>
          <w:szCs w:val="22"/>
          <w:lang w:val="fr-FR"/>
        </w:rPr>
        <w:t>États Membres</w:t>
      </w:r>
      <w:r w:rsidRPr="00FB165F">
        <w:rPr>
          <w:rFonts w:eastAsiaTheme="minorEastAsia" w:cstheme="minorBidi"/>
          <w:b w:val="0"/>
          <w:bCs w:val="0"/>
          <w:caps w:val="0"/>
          <w:color w:val="auto"/>
          <w:szCs w:val="22"/>
          <w:lang w:val="fr-FR"/>
        </w:rPr>
        <w:t xml:space="preserve">. Ils se sont également engagés à soutenir les interventions du Réseau dans trois domaines d'action prioritaires : activité physique, mesures fiscales et commercialisation limitée des aliments et boissons non alcoolisées destinés aux enfants. </w:t>
      </w:r>
    </w:p>
    <w:p w14:paraId="7564F7D7" w14:textId="34A874AD" w:rsidR="002C48DE" w:rsidRPr="00FB165F" w:rsidRDefault="006C5D3F">
      <w:pPr>
        <w:rPr>
          <w:lang w:val="fr-FR"/>
        </w:rPr>
      </w:pPr>
      <w:r w:rsidRPr="00FB165F">
        <w:rPr>
          <w:lang w:val="fr-FR"/>
        </w:rPr>
        <w:t>Ce document présente une synthèse des avancées et défis du Réseau et propose des recommandations en vue de faire progresser les efforts visant à mettre fin à l'obésité de l'enfant en Océanie.</w:t>
      </w:r>
    </w:p>
    <w:p w14:paraId="3D84E9F1" w14:textId="27C768AE" w:rsidR="009E0188" w:rsidRPr="00FB165F" w:rsidRDefault="001E6E24">
      <w:pPr>
        <w:pStyle w:val="Heading1"/>
        <w:rPr>
          <w:b w:val="0"/>
          <w:bCs w:val="0"/>
          <w:lang w:val="fr-FR" w:eastAsia="ko-KR"/>
        </w:rPr>
      </w:pPr>
      <w:r w:rsidRPr="00FB165F">
        <w:rPr>
          <w:lang w:val="fr-FR" w:eastAsia="ko-KR"/>
        </w:rPr>
        <w:t>2. PROGRÈS ET RÉALISATIONS</w:t>
      </w:r>
    </w:p>
    <w:p w14:paraId="6768363D" w14:textId="77777777" w:rsidR="00D97291" w:rsidRPr="00FB165F" w:rsidRDefault="00D97291">
      <w:pPr>
        <w:rPr>
          <w:b/>
          <w:lang w:val="fr-FR" w:eastAsia="ko-KR"/>
        </w:rPr>
      </w:pPr>
      <w:r w:rsidRPr="00FB165F">
        <w:rPr>
          <w:b/>
          <w:lang w:val="fr-FR" w:eastAsia="ko-KR"/>
        </w:rPr>
        <w:t>2.1 Coordination et adhésion</w:t>
      </w:r>
      <w:r w:rsidRPr="00FB165F" w:rsidDel="00D97291">
        <w:rPr>
          <w:b/>
          <w:lang w:val="fr-FR" w:eastAsia="ko-KR"/>
        </w:rPr>
        <w:t xml:space="preserve"> </w:t>
      </w:r>
    </w:p>
    <w:p w14:paraId="16243C94" w14:textId="3AEB5DE8" w:rsidR="00EB47B6" w:rsidRPr="00FB165F" w:rsidRDefault="00D97291">
      <w:pPr>
        <w:rPr>
          <w:rFonts w:eastAsia="Malgun Gothic" w:cs="Times New Roman"/>
          <w:bCs/>
          <w:lang w:val="fr-FR" w:eastAsia="ko-KR"/>
        </w:rPr>
      </w:pPr>
      <w:r w:rsidRPr="00FB165F">
        <w:rPr>
          <w:lang w:val="fr-FR" w:eastAsia="ko-KR"/>
        </w:rPr>
        <w:t xml:space="preserve">Dix-neuf des 21 </w:t>
      </w:r>
      <w:r w:rsidR="00D554E0">
        <w:rPr>
          <w:lang w:val="fr-FR" w:eastAsia="ko-KR"/>
        </w:rPr>
        <w:t xml:space="preserve">États et Territoires insulaires du Pacifique </w:t>
      </w:r>
      <w:r w:rsidRPr="00FB165F">
        <w:rPr>
          <w:lang w:val="fr-FR" w:eastAsia="ko-KR"/>
        </w:rPr>
        <w:t>faisant partie du Réseau océanien pour mettre fin à l'obésité de l'enfant ont approuvé la nomination de responsables nationaux. Trois groupes de travail composés de coordonnateurs nationaux, d'universitaires et de représentants d'agences techniques, notamment l'Organisation mondiale de la Santé (OMS) et la Communauté du Pacifique (SPC) ont été créés pour les domaines d'action prioritaires.</w:t>
      </w:r>
    </w:p>
    <w:p w14:paraId="26219F2D" w14:textId="77777777" w:rsidR="00765E53" w:rsidRDefault="00765E53">
      <w:pPr>
        <w:rPr>
          <w:rFonts w:eastAsiaTheme="majorEastAsia" w:cstheme="majorBidi"/>
          <w:b/>
          <w:bCs/>
          <w:color w:val="000000" w:themeColor="text1"/>
          <w:szCs w:val="26"/>
          <w:lang w:val="fr-FR" w:eastAsia="ko-KR"/>
        </w:rPr>
      </w:pPr>
      <w:r w:rsidRPr="00FB165F">
        <w:rPr>
          <w:rFonts w:eastAsiaTheme="majorEastAsia" w:cstheme="majorBidi"/>
          <w:b/>
          <w:bCs/>
          <w:color w:val="000000" w:themeColor="text1"/>
          <w:szCs w:val="26"/>
          <w:lang w:val="fr-FR" w:eastAsia="ko-KR"/>
        </w:rPr>
        <w:t>2.2 Première réunion du Réseau océanien pour mettre fin à l'obésité de l'enfant</w:t>
      </w:r>
      <w:r w:rsidRPr="00FB165F" w:rsidDel="00765E53">
        <w:rPr>
          <w:rFonts w:eastAsiaTheme="majorEastAsia" w:cstheme="majorBidi"/>
          <w:b/>
          <w:bCs/>
          <w:color w:val="000000" w:themeColor="text1"/>
          <w:szCs w:val="26"/>
          <w:lang w:val="fr-FR" w:eastAsia="ko-KR"/>
        </w:rPr>
        <w:t xml:space="preserve"> </w:t>
      </w:r>
    </w:p>
    <w:p w14:paraId="5D8BFE6B" w14:textId="07A0319A" w:rsidR="00A735CC" w:rsidRPr="00FB165F" w:rsidRDefault="00765E53" w:rsidP="00FB165F">
      <w:pPr>
        <w:rPr>
          <w:rFonts w:eastAsiaTheme="majorEastAsia" w:cstheme="majorBidi"/>
          <w:b/>
          <w:bCs/>
          <w:color w:val="000000" w:themeColor="text1"/>
          <w:szCs w:val="26"/>
          <w:lang w:val="fr-FR" w:eastAsia="ko-KR"/>
        </w:rPr>
      </w:pPr>
      <w:r w:rsidRPr="00765E53">
        <w:rPr>
          <w:lang w:val="fr-FR" w:eastAsia="ko-KR"/>
        </w:rPr>
        <w:lastRenderedPageBreak/>
        <w:t xml:space="preserve">La première réunion du réseau océanien pour mettre fin à l'obésité de </w:t>
      </w:r>
      <w:r w:rsidR="002556A7">
        <w:rPr>
          <w:lang w:val="fr-FR" w:eastAsia="ko-KR"/>
        </w:rPr>
        <w:t>l'enfant s'est tenue en février </w:t>
      </w:r>
      <w:r w:rsidRPr="00765E53">
        <w:rPr>
          <w:lang w:val="fr-FR" w:eastAsia="ko-KR"/>
        </w:rPr>
        <w:t>2019 à Nadi, Fidji. 17 des 19 coordonnateurs nationaux ont assisté à la réunion, ainsi que des représentants d'agences techniques, d'universités, de partenaires de développement et d'organisations de la société civile.  À la fin de cette réunion, les coordonnateurs nationaux sont convenus de mettr</w:t>
      </w:r>
      <w:r w:rsidR="00D554E0">
        <w:rPr>
          <w:lang w:val="fr-FR" w:eastAsia="ko-KR"/>
        </w:rPr>
        <w:t>e en œuvre</w:t>
      </w:r>
      <w:r w:rsidRPr="00765E53">
        <w:rPr>
          <w:lang w:val="fr-FR" w:eastAsia="ko-KR"/>
        </w:rPr>
        <w:t xml:space="preserve"> des plans en vue d'actions collectives pour compléter les efforts individuels des états.</w:t>
      </w:r>
    </w:p>
    <w:p w14:paraId="7BFC7566" w14:textId="77777777" w:rsidR="00547F02" w:rsidRPr="00FB165F" w:rsidRDefault="00547F02">
      <w:pPr>
        <w:rPr>
          <w:rFonts w:eastAsiaTheme="majorEastAsia" w:cstheme="majorBidi"/>
          <w:b/>
          <w:bCs/>
          <w:color w:val="000000" w:themeColor="text1"/>
          <w:szCs w:val="26"/>
          <w:lang w:val="fr-FR" w:eastAsia="ko-KR"/>
        </w:rPr>
      </w:pPr>
      <w:r w:rsidRPr="00FB165F">
        <w:rPr>
          <w:rFonts w:eastAsiaTheme="majorEastAsia" w:cstheme="majorBidi"/>
          <w:b/>
          <w:bCs/>
          <w:color w:val="000000" w:themeColor="text1"/>
          <w:szCs w:val="26"/>
          <w:lang w:val="fr-FR" w:eastAsia="ko-KR"/>
        </w:rPr>
        <w:t>2.3 Domaines prioritaires stratégiques</w:t>
      </w:r>
      <w:r w:rsidRPr="00FB165F" w:rsidDel="00547F02">
        <w:rPr>
          <w:rFonts w:eastAsiaTheme="majorEastAsia" w:cstheme="majorBidi"/>
          <w:b/>
          <w:bCs/>
          <w:color w:val="000000" w:themeColor="text1"/>
          <w:szCs w:val="26"/>
          <w:lang w:val="fr-FR" w:eastAsia="ko-KR"/>
        </w:rPr>
        <w:t xml:space="preserve"> </w:t>
      </w:r>
    </w:p>
    <w:p w14:paraId="20E78C43" w14:textId="3D93385D" w:rsidR="00683760" w:rsidRPr="00FB165F" w:rsidRDefault="00DA5084">
      <w:pPr>
        <w:rPr>
          <w:lang w:val="fr-FR" w:eastAsia="ko-KR"/>
        </w:rPr>
      </w:pPr>
      <w:r w:rsidRPr="00FB165F">
        <w:rPr>
          <w:lang w:val="fr-FR" w:eastAsia="ko-KR"/>
        </w:rPr>
        <w:t>Lors d'une réunion de planification initiale du Réseau en décembre 2017, les trois domaines d'action prioritaires ont été identifiés : activité physique, politiques fiscales et commercialisation limitée des aliments et boissons non alcoolisées nocifs pour la santé et destinés aux enfants. La surveillance de l'obésité de l'enfant a été identifiée ultérieurement comme un quatrième domaine prioritaire possible.</w:t>
      </w:r>
      <w:r w:rsidR="00B41EF5" w:rsidRPr="00FB165F">
        <w:rPr>
          <w:lang w:val="fr-FR" w:eastAsia="ko-KR"/>
        </w:rPr>
        <w:t xml:space="preserve"> </w:t>
      </w:r>
    </w:p>
    <w:p w14:paraId="761A3E5B" w14:textId="10E9B1BB" w:rsidR="00096CD2" w:rsidRPr="00FB165F" w:rsidRDefault="00DA5084">
      <w:pPr>
        <w:rPr>
          <w:lang w:val="fr-FR" w:eastAsia="ko-KR"/>
        </w:rPr>
      </w:pPr>
      <w:r w:rsidRPr="00FB165F">
        <w:rPr>
          <w:b/>
          <w:lang w:val="fr-FR" w:eastAsia="ko-KR"/>
        </w:rPr>
        <w:t>Activité physique :</w:t>
      </w:r>
      <w:r w:rsidR="00D219EF" w:rsidRPr="00FB165F">
        <w:rPr>
          <w:lang w:val="fr-FR" w:eastAsia="ko-KR"/>
        </w:rPr>
        <w:t xml:space="preserve"> </w:t>
      </w:r>
      <w:r w:rsidRPr="00FB165F">
        <w:rPr>
          <w:lang w:val="fr-FR" w:eastAsia="ko-KR"/>
        </w:rPr>
        <w:t>Le Réseau océanien pour mettre fin à l'obésité de l'enfant élabore une campagne régionale pour promouvoir l'activité physique chez les enfants âgés de 5 à 17 ans. Les objectifs proposés de la campagne « Move for More » visent à i) accroître le recours et la participation à des activités auprès de publics clés ; ii) accroître les connaissances, les comportements, les intentions et les tentatives positifs visant à soutenir l'activité physique des enfants ; iii) réduire le temps passé devant les écrans ; et iv) accroître la proportion d'enfants qui satisfont aux recommandations de l'OMS sur l'activité physique à l'issue de la campagne. Pour la première étape de l'élaboration de la campagne, les coordonnateurs nationaux ont finalisé un questionnaire afin de collecter des informations de base par pays sur les programmes d'activité physique existants et/ou les campagnes destinées aux enfants (âgés de 5 à 17 ans), ainsi que les messages, comportements ciblés et délivrables clés de ces programmes. Les résultats de ce questionnaire alimenteront la recherche formative pour la campagne qui constituera la prochaine action prioritaire du réseau, et ce sont les responsables nationaux qui la coordonnent.</w:t>
      </w:r>
      <w:r w:rsidR="004A3BEA" w:rsidRPr="00FB165F">
        <w:rPr>
          <w:lang w:val="fr-FR" w:eastAsia="ko-KR"/>
        </w:rPr>
        <w:t xml:space="preserve"> </w:t>
      </w:r>
    </w:p>
    <w:p w14:paraId="449E9DC7" w14:textId="69035AC4" w:rsidR="00171B6D" w:rsidRPr="00FB165F" w:rsidRDefault="00DA5084">
      <w:pPr>
        <w:rPr>
          <w:rFonts w:eastAsia="Malgun Gothic" w:cs="Times New Roman"/>
          <w:b/>
          <w:bCs/>
          <w:lang w:val="fr-FR" w:eastAsia="ko-KR"/>
        </w:rPr>
      </w:pPr>
      <w:r w:rsidRPr="00FB165F">
        <w:rPr>
          <w:b/>
          <w:lang w:val="fr-FR" w:eastAsia="ko-KR"/>
        </w:rPr>
        <w:t>Mesures fiscales :</w:t>
      </w:r>
      <w:r w:rsidR="00171B6D" w:rsidRPr="00FB165F">
        <w:rPr>
          <w:b/>
          <w:lang w:val="fr-FR" w:eastAsia="ko-KR"/>
        </w:rPr>
        <w:t xml:space="preserve"> </w:t>
      </w:r>
      <w:r w:rsidRPr="00FB165F">
        <w:rPr>
          <w:lang w:val="fr-FR" w:eastAsia="ko-KR"/>
        </w:rPr>
        <w:t>Le Réseau océanien pour mettre fin à l'obésité de l'enfant a examiné les mesures fiscales destinées à impacter la consommation d'aliments et boissons nocifs pour la santé et a reconnu la nécessité de soutenir ces mesures par des actions complémentaires. Le Réseau a priorisé la taxation des boissons avec sucre ajouté (BSA) et identifié des actions complémentaires essentielles pour accroître l'impact de cette mesure. E</w:t>
      </w:r>
      <w:r w:rsidR="00D554E0">
        <w:rPr>
          <w:lang w:val="fr-FR" w:eastAsia="ko-KR"/>
        </w:rPr>
        <w:t>n 2</w:t>
      </w:r>
      <w:r w:rsidRPr="00FB165F">
        <w:rPr>
          <w:lang w:val="fr-FR" w:eastAsia="ko-KR"/>
        </w:rPr>
        <w:t xml:space="preserve">018, sept </w:t>
      </w:r>
      <w:r w:rsidR="00D554E0">
        <w:rPr>
          <w:lang w:val="fr-FR" w:eastAsia="ko-KR"/>
        </w:rPr>
        <w:t>États Membres</w:t>
      </w:r>
      <w:r w:rsidRPr="00FB165F">
        <w:rPr>
          <w:lang w:val="fr-FR" w:eastAsia="ko-KR"/>
        </w:rPr>
        <w:t xml:space="preserve"> ont collecté et rassemblé des données de base sur les taxes appliquées aux BSA et les taxes à l'importation/d'accise pour des produits alimentaires ciblés. Douze États sont en cours de processus de validation de leurs informations pour cette évaluation de base. La prochaine étape consistera à élaborer un ensemble d'outils pour soutenir les actions nationales en se basant sur les supports et informations existants. Un meilleur accès à l'eau potable dans les écoles ainsi que dans d'autres établissements en fera partie.</w:t>
      </w:r>
    </w:p>
    <w:p w14:paraId="1417C0C0" w14:textId="102023C5" w:rsidR="00B41EF5" w:rsidRPr="00FB165F" w:rsidRDefault="00DA5084">
      <w:pPr>
        <w:rPr>
          <w:lang w:val="fr-FR"/>
        </w:rPr>
      </w:pPr>
      <w:r w:rsidRPr="00FB165F">
        <w:rPr>
          <w:rFonts w:eastAsia="Malgun Gothic"/>
          <w:b/>
          <w:bCs/>
          <w:lang w:val="fr-FR" w:eastAsia="ko-KR"/>
        </w:rPr>
        <w:lastRenderedPageBreak/>
        <w:t>Commercialisation limitée des aliments et boissons non alcoolisées destinés aux enfants et nocifs pour la santé :</w:t>
      </w:r>
      <w:r w:rsidR="003965BF" w:rsidRPr="00FB165F">
        <w:rPr>
          <w:rFonts w:eastAsia="Malgun Gothic"/>
          <w:b/>
          <w:bCs/>
          <w:lang w:val="fr-FR" w:eastAsia="ko-KR"/>
        </w:rPr>
        <w:t xml:space="preserve"> </w:t>
      </w:r>
      <w:r w:rsidRPr="00FB165F">
        <w:rPr>
          <w:lang w:val="fr-FR"/>
        </w:rPr>
        <w:t>Dans le cadre de la première étape fondamentale dans l'élaboration et la mise en place d'une approche réglementaire pour limiter la publicité et la commercialisation d'aliments et boissons non alcoolisées destinés aux enfants, il a été demandé aux États de procéder à un état des lieux de la commercialisation des aliments et boissons dans leur environnement alimentaire. Cinq États ont terminé leurs analyses de la situation, douze sont en cours de collecte des données de base et deux ne peuvent pas mener à bien cette tâche du fait de ressources et activités de commercialisation limitées. Prenant appui sur la synthèse des résultats consolidés à ce jour, les États ont reconnu la nécessité d'une approche réglementaire collective adaptée au profil individuel de chaque pays afin de réglementer les environnements de leur commercialisation alimentaire</w:t>
      </w:r>
      <w:r w:rsidR="00526DE6">
        <w:rPr>
          <w:lang w:val="fr-FR"/>
        </w:rPr>
        <w:t>. Lors de la réunion de février </w:t>
      </w:r>
      <w:r w:rsidRPr="00FB165F">
        <w:rPr>
          <w:lang w:val="fr-FR"/>
        </w:rPr>
        <w:t xml:space="preserve">2019, les </w:t>
      </w:r>
      <w:r w:rsidR="00D554E0">
        <w:rPr>
          <w:lang w:val="fr-FR"/>
        </w:rPr>
        <w:t>États Membres</w:t>
      </w:r>
      <w:r w:rsidRPr="00FB165F">
        <w:rPr>
          <w:lang w:val="fr-FR"/>
        </w:rPr>
        <w:t xml:space="preserve"> ont proposé l'élaboration d'un ensemble d'outils afin d'aider les pays à concevoir des réglementations nationales en matière de commercialisation.</w:t>
      </w:r>
    </w:p>
    <w:p w14:paraId="7A3243A6" w14:textId="0CED02A7" w:rsidR="00626D85" w:rsidRPr="00FB165F" w:rsidRDefault="002C2961">
      <w:pPr>
        <w:rPr>
          <w:lang w:val="fr-FR"/>
        </w:rPr>
      </w:pPr>
      <w:r w:rsidRPr="00FB165F">
        <w:rPr>
          <w:b/>
          <w:lang w:val="fr-FR" w:eastAsia="ko-KR"/>
        </w:rPr>
        <w:t>La surveillance de l'obésité de l'enfant :</w:t>
      </w:r>
      <w:r w:rsidR="004676BA" w:rsidRPr="00FB165F">
        <w:rPr>
          <w:b/>
          <w:lang w:val="fr-FR" w:eastAsia="ko-KR"/>
        </w:rPr>
        <w:t xml:space="preserve"> </w:t>
      </w:r>
      <w:r w:rsidRPr="00FB165F">
        <w:rPr>
          <w:lang w:val="fr-FR" w:eastAsia="ko-KR"/>
        </w:rPr>
        <w:t>Le Réseau a proposé que la surveillance de l'obésité de l'enfant soit le quatrième domaine d'action prioritaire possible de façon à dresser la carte des tendances et à évaluer les impacts des interventions. Les responsables nationaux ont discuté des outils de mesure disponibles en études statistiques et de la surveillance régulière via les examens médicaux en milieu scolaire.  À l'échelle mondiale, l'OMS promeut l’Enquête démographique et sanitaire (EDS) pour les jeunes enfants âgés de moins de cinq ans et l'Enquête mondiale réalisée en milieu scolaire sur la santé des élèves (GSHS) pour les enfants âgés de 12 à 17 ans. Actuellement, l'OMS met au point un outil standard qui pourrait être utilisé pour les enfants âgés de 5 à 10 ans.</w:t>
      </w:r>
    </w:p>
    <w:p w14:paraId="755A1FFA" w14:textId="31FEA994" w:rsidR="00626D85" w:rsidRPr="00FB165F" w:rsidRDefault="008C1EF4">
      <w:pPr>
        <w:pStyle w:val="Heading1"/>
        <w:rPr>
          <w:rFonts w:eastAsia="Malgun Gothic"/>
          <w:b w:val="0"/>
          <w:bCs w:val="0"/>
          <w:lang w:val="fr-FR" w:eastAsia="ko-KR"/>
        </w:rPr>
      </w:pPr>
      <w:r w:rsidRPr="00FB165F">
        <w:rPr>
          <w:rFonts w:eastAsia="Malgun Gothic"/>
          <w:lang w:val="fr-FR" w:eastAsia="ko-KR"/>
        </w:rPr>
        <w:t>3. DÉFIS</w:t>
      </w:r>
    </w:p>
    <w:p w14:paraId="1D89B096" w14:textId="01636D3B" w:rsidR="00626D85" w:rsidRPr="00FB165F" w:rsidRDefault="008C1EF4">
      <w:pPr>
        <w:pStyle w:val="Heading2"/>
        <w:rPr>
          <w:b w:val="0"/>
          <w:bCs w:val="0"/>
          <w:lang w:val="fr-FR" w:eastAsia="ko-KR"/>
        </w:rPr>
      </w:pPr>
      <w:r w:rsidRPr="00FB165F">
        <w:rPr>
          <w:lang w:val="fr-FR" w:eastAsia="ko-KR"/>
        </w:rPr>
        <w:t>3.1 Coordination et adhésion</w:t>
      </w:r>
      <w:r w:rsidR="00626D85" w:rsidRPr="00FB165F">
        <w:rPr>
          <w:lang w:val="fr-FR" w:eastAsia="ko-KR"/>
        </w:rPr>
        <w:t xml:space="preserve">  </w:t>
      </w:r>
    </w:p>
    <w:p w14:paraId="020B5AD0" w14:textId="51964A69" w:rsidR="008C1EF4" w:rsidRDefault="008C1EF4" w:rsidP="00FB165F">
      <w:pPr>
        <w:pStyle w:val="Heading2"/>
        <w:jc w:val="both"/>
        <w:rPr>
          <w:rFonts w:eastAsiaTheme="minorEastAsia" w:cstheme="minorBidi"/>
          <w:b w:val="0"/>
          <w:bCs w:val="0"/>
          <w:color w:val="auto"/>
          <w:szCs w:val="22"/>
          <w:lang w:val="fr-FR"/>
        </w:rPr>
      </w:pPr>
      <w:r w:rsidRPr="00FB165F">
        <w:rPr>
          <w:rFonts w:eastAsiaTheme="minorEastAsia" w:cstheme="minorBidi"/>
          <w:b w:val="0"/>
          <w:bCs w:val="0"/>
          <w:color w:val="auto"/>
          <w:szCs w:val="22"/>
          <w:lang w:val="fr-FR"/>
        </w:rPr>
        <w:t xml:space="preserve">En dépit des engagements pris par les </w:t>
      </w:r>
      <w:r w:rsidR="00D554E0">
        <w:rPr>
          <w:rFonts w:eastAsiaTheme="minorEastAsia" w:cstheme="minorBidi"/>
          <w:b w:val="0"/>
          <w:bCs w:val="0"/>
          <w:color w:val="auto"/>
          <w:szCs w:val="22"/>
          <w:lang w:val="fr-FR"/>
        </w:rPr>
        <w:t>États Membres</w:t>
      </w:r>
      <w:r w:rsidRPr="00FB165F">
        <w:rPr>
          <w:rFonts w:eastAsiaTheme="minorEastAsia" w:cstheme="minorBidi"/>
          <w:b w:val="0"/>
          <w:bCs w:val="0"/>
          <w:color w:val="auto"/>
          <w:szCs w:val="22"/>
          <w:lang w:val="fr-FR"/>
        </w:rPr>
        <w:t xml:space="preserve"> à l'échelon régional, les défis demeurent quant au maintien et à la pérennité du Réseau océanien pour mettre fin à l'obésité de l'enfant. En premier lieu, un manque de ressources menace sa pérennité. De plus, l'engagement de la société civile est très limité. Il existe un besoin de renforcer la collaboration et de former des alliances avec les organisations de la société civile qui travaillent sur les MNT pour actionner la sensibilisation, la stratégie et les mesures de responsabilisation, et pour soutenir la mis</w:t>
      </w:r>
      <w:r w:rsidR="00D554E0">
        <w:rPr>
          <w:rFonts w:eastAsiaTheme="minorEastAsia" w:cstheme="minorBidi"/>
          <w:b w:val="0"/>
          <w:bCs w:val="0"/>
          <w:color w:val="auto"/>
          <w:szCs w:val="22"/>
          <w:lang w:val="fr-FR"/>
        </w:rPr>
        <w:t>e en œuvre</w:t>
      </w:r>
      <w:r w:rsidRPr="00FB165F">
        <w:rPr>
          <w:rFonts w:eastAsiaTheme="minorEastAsia" w:cstheme="minorBidi"/>
          <w:b w:val="0"/>
          <w:bCs w:val="0"/>
          <w:color w:val="auto"/>
          <w:szCs w:val="22"/>
          <w:lang w:val="fr-FR"/>
        </w:rPr>
        <w:t xml:space="preserve"> des priorités du Réseau.</w:t>
      </w:r>
    </w:p>
    <w:p w14:paraId="7847F7BF" w14:textId="77777777" w:rsidR="00851F89" w:rsidRDefault="00851F89">
      <w:pPr>
        <w:rPr>
          <w:rFonts w:eastAsiaTheme="majorEastAsia" w:cstheme="majorBidi"/>
          <w:b/>
          <w:bCs/>
          <w:color w:val="000000" w:themeColor="text1"/>
          <w:szCs w:val="26"/>
          <w:lang w:val="fr-FR"/>
        </w:rPr>
      </w:pPr>
      <w:r w:rsidRPr="00851F89">
        <w:rPr>
          <w:rFonts w:eastAsiaTheme="majorEastAsia" w:cstheme="majorBidi"/>
          <w:b/>
          <w:bCs/>
          <w:color w:val="000000" w:themeColor="text1"/>
          <w:szCs w:val="26"/>
          <w:lang w:val="fr-FR"/>
        </w:rPr>
        <w:t xml:space="preserve">3.2 Domaines d'action prioritaires stratégiques </w:t>
      </w:r>
    </w:p>
    <w:p w14:paraId="35BF8180" w14:textId="51798BF0" w:rsidR="00247B8B" w:rsidRPr="00FB165F" w:rsidRDefault="00851F89" w:rsidP="00FB165F">
      <w:pPr>
        <w:rPr>
          <w:lang w:val="fr-FR"/>
        </w:rPr>
      </w:pPr>
      <w:r w:rsidRPr="00FB165F">
        <w:rPr>
          <w:lang w:val="fr-FR"/>
        </w:rPr>
        <w:lastRenderedPageBreak/>
        <w:t>À l'échelle pays, davantage de ressources sont nécessaires afin d'accélérer la progression des actions prioritaires. Les États ont également besoin de lier les activités identifiées dans les domaines d'action prioritaires et d'établir la liste de tout chevauchement afin d'éviter une duplication des efforts. La mis</w:t>
      </w:r>
      <w:r w:rsidR="00D554E0">
        <w:rPr>
          <w:lang w:val="fr-FR"/>
        </w:rPr>
        <w:t>e en œuvre</w:t>
      </w:r>
      <w:r w:rsidRPr="00FB165F">
        <w:rPr>
          <w:lang w:val="fr-FR"/>
        </w:rPr>
        <w:t xml:space="preserve"> des actions prioritaires exige une approche gouvernementale globale, par exemple au travers de l'implication des ministères de l'éducation pour conduire les initiatives dans les écoles, des ministères des finances ou des services chargés de percevoir les recettes pour les domaines relevant de politiques fiscales, et des services chargés de faire appliquer les limites de commercialisation. L'approche doit également être globale et toucher l'ensemble de la société par le biais du secteur public, du secteur privé, des communautés locales et des organisations de la société civile.</w:t>
      </w:r>
      <w:r w:rsidR="00E10CFB" w:rsidRPr="00FB165F">
        <w:rPr>
          <w:lang w:val="fr-FR"/>
        </w:rPr>
        <w:t xml:space="preserve"> </w:t>
      </w:r>
    </w:p>
    <w:p w14:paraId="16BE8205" w14:textId="3EFA6335" w:rsidR="00A735CC" w:rsidRPr="00FB165F" w:rsidRDefault="00A735CC" w:rsidP="00FB165F">
      <w:pPr>
        <w:pStyle w:val="TOC1"/>
        <w:spacing w:line="360" w:lineRule="auto"/>
        <w:rPr>
          <w:lang w:val="fr-FR" w:eastAsia="ko-KR"/>
        </w:rPr>
      </w:pPr>
    </w:p>
    <w:p w14:paraId="258EC186" w14:textId="26BCCD1C" w:rsidR="0013523D" w:rsidRPr="00DD2E60" w:rsidRDefault="00851F89">
      <w:pPr>
        <w:pStyle w:val="ListParagraph"/>
        <w:numPr>
          <w:ilvl w:val="0"/>
          <w:numId w:val="7"/>
        </w:numPr>
        <w:jc w:val="center"/>
        <w:rPr>
          <w:rFonts w:eastAsia="Malgun Gothic" w:cs="Times New Roman"/>
          <w:b/>
          <w:bCs/>
          <w:lang w:eastAsia="ko-KR"/>
        </w:rPr>
      </w:pPr>
      <w:r>
        <w:rPr>
          <w:rFonts w:eastAsia="Malgun Gothic" w:cs="Times New Roman"/>
          <w:b/>
          <w:bCs/>
          <w:lang w:eastAsia="ko-KR"/>
        </w:rPr>
        <w:t>ORIENTATIONS FUTURES</w:t>
      </w:r>
    </w:p>
    <w:p w14:paraId="70A304FF" w14:textId="35AB77A5" w:rsidR="00BE1590" w:rsidRPr="00FB165F" w:rsidRDefault="00BE1590">
      <w:pPr>
        <w:pStyle w:val="Heading2"/>
        <w:rPr>
          <w:b w:val="0"/>
          <w:bCs w:val="0"/>
          <w:lang w:val="fr-FR" w:eastAsia="ko-KR"/>
        </w:rPr>
      </w:pPr>
      <w:r w:rsidRPr="00FB165F">
        <w:rPr>
          <w:lang w:val="fr-FR" w:eastAsia="ko-KR"/>
        </w:rPr>
        <w:t>4</w:t>
      </w:r>
      <w:r w:rsidR="000970D4" w:rsidRPr="00FB165F">
        <w:rPr>
          <w:lang w:val="fr-FR" w:eastAsia="ko-KR"/>
        </w:rPr>
        <w:t xml:space="preserve">.1 </w:t>
      </w:r>
      <w:r w:rsidR="003A0B77" w:rsidRPr="00FB165F">
        <w:rPr>
          <w:lang w:val="fr-FR" w:eastAsia="ko-KR"/>
        </w:rPr>
        <w:t xml:space="preserve">Recommandations à l'intention des pouvoirs publics </w:t>
      </w:r>
    </w:p>
    <w:p w14:paraId="3903AA3E" w14:textId="6FADB078" w:rsidR="00DF666C" w:rsidRPr="00FB165F" w:rsidRDefault="003A0B77">
      <w:pPr>
        <w:rPr>
          <w:lang w:val="fr-FR" w:eastAsia="en-AU"/>
        </w:rPr>
      </w:pPr>
      <w:r w:rsidRPr="00FB165F">
        <w:rPr>
          <w:lang w:val="fr-FR" w:eastAsia="en-AU"/>
        </w:rPr>
        <w:t>Les ministres de la santé pourraient envisager de :</w:t>
      </w:r>
    </w:p>
    <w:p w14:paraId="5CA6CCE3" w14:textId="3DA27990" w:rsidR="0013523D" w:rsidRPr="00FB165F" w:rsidRDefault="003A0B77">
      <w:pPr>
        <w:pStyle w:val="ListParagraph"/>
        <w:numPr>
          <w:ilvl w:val="0"/>
          <w:numId w:val="8"/>
        </w:numPr>
        <w:rPr>
          <w:lang w:val="fr-FR" w:eastAsia="en-AU"/>
        </w:rPr>
      </w:pPr>
      <w:r w:rsidRPr="00FB165F">
        <w:rPr>
          <w:lang w:val="fr-FR" w:eastAsia="en-AU"/>
        </w:rPr>
        <w:t xml:space="preserve">s'assurer que les </w:t>
      </w:r>
      <w:r w:rsidR="00D554E0">
        <w:rPr>
          <w:lang w:val="fr-FR" w:eastAsia="en-AU"/>
        </w:rPr>
        <w:t xml:space="preserve">États et Territoires insulaires du Pacifique </w:t>
      </w:r>
      <w:r w:rsidRPr="00FB165F">
        <w:rPr>
          <w:lang w:val="fr-FR" w:eastAsia="en-AU"/>
        </w:rPr>
        <w:t>intègrent des actions pour lutter contre l'obésité de l'enfant dans leurs plans multisectoriels de lutte contre les MNT ou dans leurs plans nationaux, avec des indicateurs et des délais impartis clairement définis ;</w:t>
      </w:r>
    </w:p>
    <w:p w14:paraId="060EFB6F" w14:textId="1810E9CE" w:rsidR="00D83114" w:rsidRPr="00FB165F" w:rsidRDefault="003A0B77">
      <w:pPr>
        <w:pStyle w:val="ListParagraph"/>
        <w:numPr>
          <w:ilvl w:val="0"/>
          <w:numId w:val="8"/>
        </w:numPr>
        <w:rPr>
          <w:lang w:val="fr-FR" w:eastAsia="en-AU"/>
        </w:rPr>
      </w:pPr>
      <w:r w:rsidRPr="00FB165F">
        <w:rPr>
          <w:lang w:val="fr-FR" w:eastAsia="en-AU"/>
        </w:rPr>
        <w:t>soutenir les domaines d'action prioritaires stratégiques, à savoir l'activité physique, les mesures fiscales et la commercialisation limitée des aliments et boissons non alcoolisées destinés aux enfants en accord avec les av</w:t>
      </w:r>
      <w:r w:rsidR="000E2699">
        <w:rPr>
          <w:lang w:val="fr-FR" w:eastAsia="en-AU"/>
        </w:rPr>
        <w:t>ancées de la réunion de février </w:t>
      </w:r>
      <w:r w:rsidRPr="00FB165F">
        <w:rPr>
          <w:lang w:val="fr-FR" w:eastAsia="en-AU"/>
        </w:rPr>
        <w:t>2019 sur les plans d'action ; et</w:t>
      </w:r>
    </w:p>
    <w:p w14:paraId="62B4DE79" w14:textId="5FE2F13D" w:rsidR="0013523D" w:rsidRPr="00FB165F" w:rsidRDefault="003A0B77">
      <w:pPr>
        <w:pStyle w:val="ListParagraph"/>
        <w:numPr>
          <w:ilvl w:val="0"/>
          <w:numId w:val="8"/>
        </w:numPr>
        <w:rPr>
          <w:rFonts w:eastAsia="Calibri" w:cs="Times New Roman"/>
          <w:lang w:val="fr-FR" w:eastAsia="en-AU"/>
        </w:rPr>
      </w:pPr>
      <w:r w:rsidRPr="003A0B77">
        <w:rPr>
          <w:lang w:val="fr-FR" w:eastAsia="en-AU"/>
        </w:rPr>
        <w:t>s'engager à soutenir ou à maintenir une collaboration multisectorielle active à l'échelon national sur la question de l'obésité de l'enfant pour mener les initiatives pour l'année suivante.</w:t>
      </w:r>
    </w:p>
    <w:p w14:paraId="4FC7C22A" w14:textId="204D8AED" w:rsidR="0013523D" w:rsidRPr="00FB165F" w:rsidRDefault="000970D4">
      <w:pPr>
        <w:pStyle w:val="Heading2"/>
        <w:rPr>
          <w:b w:val="0"/>
          <w:bCs w:val="0"/>
          <w:lang w:val="fr-FR" w:eastAsia="ko-KR"/>
        </w:rPr>
      </w:pPr>
      <w:r w:rsidRPr="00FB165F">
        <w:rPr>
          <w:lang w:val="fr-FR" w:eastAsia="ko-KR"/>
        </w:rPr>
        <w:t xml:space="preserve">4.2 </w:t>
      </w:r>
      <w:r w:rsidR="002B3697" w:rsidRPr="00FB165F">
        <w:rPr>
          <w:lang w:val="fr-FR" w:eastAsia="ko-KR"/>
        </w:rPr>
        <w:t xml:space="preserve">Recommandations à l'intention des partenaires de développement </w:t>
      </w:r>
    </w:p>
    <w:p w14:paraId="3D70A8EA" w14:textId="19FCA266" w:rsidR="0013523D" w:rsidRPr="00FB165F" w:rsidRDefault="002B3697">
      <w:pPr>
        <w:rPr>
          <w:rFonts w:eastAsia="Malgun Gothic"/>
          <w:b/>
          <w:bCs/>
          <w:lang w:val="fr-FR" w:eastAsia="ko-KR"/>
        </w:rPr>
      </w:pPr>
      <w:r w:rsidRPr="00FB165F">
        <w:rPr>
          <w:lang w:val="fr-FR" w:eastAsia="en-AU"/>
        </w:rPr>
        <w:t>Les partenaires de développement pourraient envisager de :</w:t>
      </w:r>
    </w:p>
    <w:p w14:paraId="260CE2D0" w14:textId="182EF4D5" w:rsidR="0013523D" w:rsidRPr="00FB165F" w:rsidRDefault="002B3697">
      <w:pPr>
        <w:pStyle w:val="ListParagraph"/>
        <w:numPr>
          <w:ilvl w:val="0"/>
          <w:numId w:val="9"/>
        </w:numPr>
        <w:rPr>
          <w:lang w:val="fr-FR" w:eastAsia="en-AU"/>
        </w:rPr>
      </w:pPr>
      <w:r w:rsidRPr="00FB165F">
        <w:rPr>
          <w:lang w:val="fr-FR" w:eastAsia="en-AU"/>
        </w:rPr>
        <w:t xml:space="preserve">soutenir les </w:t>
      </w:r>
      <w:r w:rsidR="00D554E0">
        <w:rPr>
          <w:lang w:val="fr-FR" w:eastAsia="en-AU"/>
        </w:rPr>
        <w:t xml:space="preserve">États et Territoires insulaires du Pacifique </w:t>
      </w:r>
      <w:r w:rsidRPr="00FB165F">
        <w:rPr>
          <w:lang w:val="fr-FR" w:eastAsia="en-AU"/>
        </w:rPr>
        <w:t>dans la mis</w:t>
      </w:r>
      <w:r w:rsidR="00D554E0">
        <w:rPr>
          <w:lang w:val="fr-FR" w:eastAsia="en-AU"/>
        </w:rPr>
        <w:t>e en œuvre</w:t>
      </w:r>
      <w:r w:rsidRPr="00FB165F">
        <w:rPr>
          <w:lang w:val="fr-FR" w:eastAsia="en-AU"/>
        </w:rPr>
        <w:t xml:space="preserve"> et le suivi des priorités et des plans d'action en lien avec l'obésité de l'enfant ;</w:t>
      </w:r>
      <w:r w:rsidR="001244B3" w:rsidRPr="00FB165F">
        <w:rPr>
          <w:lang w:val="fr-FR" w:eastAsia="en-AU"/>
        </w:rPr>
        <w:t xml:space="preserve"> </w:t>
      </w:r>
    </w:p>
    <w:p w14:paraId="57661C2E" w14:textId="692BAD59" w:rsidR="00EE5F37" w:rsidRPr="00FB165F" w:rsidRDefault="002B3697" w:rsidP="00FB165F">
      <w:pPr>
        <w:pStyle w:val="ListParagraph"/>
        <w:numPr>
          <w:ilvl w:val="0"/>
          <w:numId w:val="9"/>
        </w:numPr>
        <w:jc w:val="left"/>
        <w:rPr>
          <w:lang w:val="fr-FR" w:eastAsia="en-AU"/>
        </w:rPr>
      </w:pPr>
      <w:r w:rsidRPr="00FB165F">
        <w:rPr>
          <w:lang w:val="fr-FR" w:eastAsia="en-AU"/>
        </w:rPr>
        <w:t xml:space="preserve">renforcer les efforts en vue d'améliorer la coordination régionale, et améliorer la collaboration internationale et les opportunités de réseautage pour les </w:t>
      </w:r>
      <w:r w:rsidR="001F60B6">
        <w:rPr>
          <w:lang w:val="fr-FR" w:eastAsia="en-AU"/>
        </w:rPr>
        <w:t>États et Territoires </w:t>
      </w:r>
      <w:r w:rsidR="00D554E0">
        <w:rPr>
          <w:lang w:val="fr-FR" w:eastAsia="en-AU"/>
        </w:rPr>
        <w:t xml:space="preserve">insulaires du Pacifique </w:t>
      </w:r>
      <w:r w:rsidRPr="00FB165F">
        <w:rPr>
          <w:lang w:val="fr-FR" w:eastAsia="en-AU"/>
        </w:rPr>
        <w:t xml:space="preserve">; </w:t>
      </w:r>
      <w:r w:rsidR="001244B3" w:rsidRPr="00FB165F">
        <w:rPr>
          <w:lang w:val="fr-FR" w:eastAsia="en-AU"/>
        </w:rPr>
        <w:t xml:space="preserve"> </w:t>
      </w:r>
    </w:p>
    <w:p w14:paraId="737FA043" w14:textId="0EFE4D61" w:rsidR="00A2502B" w:rsidRPr="00FB165F" w:rsidRDefault="00A2502B">
      <w:pPr>
        <w:pStyle w:val="ListParagraph"/>
        <w:numPr>
          <w:ilvl w:val="0"/>
          <w:numId w:val="9"/>
        </w:numPr>
        <w:rPr>
          <w:lang w:val="fr-FR" w:eastAsia="en-AU"/>
        </w:rPr>
      </w:pPr>
      <w:r w:rsidRPr="00FB165F">
        <w:rPr>
          <w:lang w:val="fr-FR" w:eastAsia="en-AU"/>
        </w:rPr>
        <w:lastRenderedPageBreak/>
        <w:t>encourager une collaboration effective avec les organisations de la société civile, les gouvernements, les partenaires du Réseau et les parties prenantes afin de mieux soutenir la mis</w:t>
      </w:r>
      <w:r w:rsidR="00D554E0">
        <w:rPr>
          <w:lang w:val="fr-FR" w:eastAsia="en-AU"/>
        </w:rPr>
        <w:t>e en œuvre</w:t>
      </w:r>
      <w:r w:rsidRPr="00FB165F">
        <w:rPr>
          <w:lang w:val="fr-FR" w:eastAsia="en-AU"/>
        </w:rPr>
        <w:t xml:space="preserve"> des priorités en matière d'obésité de l’enfant ;</w:t>
      </w:r>
    </w:p>
    <w:p w14:paraId="625F0BC2" w14:textId="77777777" w:rsidR="00A2502B" w:rsidRDefault="00A2502B" w:rsidP="00FB165F">
      <w:pPr>
        <w:pStyle w:val="ListParagraph"/>
        <w:numPr>
          <w:ilvl w:val="0"/>
          <w:numId w:val="9"/>
        </w:numPr>
        <w:rPr>
          <w:lang w:val="fr-FR" w:eastAsia="en-AU"/>
        </w:rPr>
      </w:pPr>
      <w:r w:rsidRPr="00FB165F">
        <w:rPr>
          <w:lang w:val="fr-FR" w:eastAsia="en-AU"/>
        </w:rPr>
        <w:t>soutenir les efforts en vue de maintenir et pérenniser le Réseau ; et</w:t>
      </w:r>
      <w:r w:rsidRPr="00FB165F" w:rsidDel="00A2502B">
        <w:rPr>
          <w:lang w:val="fr-FR" w:eastAsia="en-AU"/>
        </w:rPr>
        <w:t xml:space="preserve"> </w:t>
      </w:r>
    </w:p>
    <w:p w14:paraId="3CB24CED" w14:textId="697A455E" w:rsidR="00E753DE" w:rsidRPr="00FB165F" w:rsidRDefault="00A2502B" w:rsidP="00FB165F">
      <w:pPr>
        <w:pStyle w:val="ListParagraph"/>
        <w:numPr>
          <w:ilvl w:val="0"/>
          <w:numId w:val="9"/>
        </w:numPr>
        <w:rPr>
          <w:rFonts w:cs="Times New Roman"/>
          <w:lang w:val="fr-FR"/>
        </w:rPr>
      </w:pPr>
      <w:r w:rsidRPr="00A2502B">
        <w:rPr>
          <w:lang w:val="fr-FR" w:eastAsia="en-AU"/>
        </w:rPr>
        <w:t>soutenir les recherches opérationnelles en matière d'évaluations d'impact afin de renforcer les interventions fondées sur des éléments concrets dans le domaine de l'obésité de l'enfant.</w:t>
      </w:r>
    </w:p>
    <w:sectPr w:rsidR="00E753DE" w:rsidRPr="00FB165F" w:rsidSect="0038645C">
      <w:headerReference w:type="even" r:id="rId9"/>
      <w:headerReference w:type="default" r:id="rId10"/>
      <w:footerReference w:type="even" r:id="rId11"/>
      <w:footerReference w:type="default" r:id="rId12"/>
      <w:headerReference w:type="first" r:id="rId13"/>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DE6C2" w15:done="0"/>
  <w15:commentEx w15:paraId="24CA5EF8" w15:done="0"/>
  <w15:commentEx w15:paraId="02AA164E" w15:done="0"/>
  <w15:commentEx w15:paraId="52266961" w15:done="0"/>
  <w15:commentEx w15:paraId="26A58D2D" w15:done="0"/>
  <w15:commentEx w15:paraId="3825C726" w15:done="0"/>
  <w15:commentEx w15:paraId="1C55C171" w15:done="0"/>
  <w15:commentEx w15:paraId="20EAC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DE6C2" w16cid:durableId="20A76ADC"/>
  <w16cid:commentId w16cid:paraId="24CA5EF8" w16cid:durableId="20A76ADD"/>
  <w16cid:commentId w16cid:paraId="02AA164E" w16cid:durableId="20A76ADE"/>
  <w16cid:commentId w16cid:paraId="52266961" w16cid:durableId="20A7EE39"/>
  <w16cid:commentId w16cid:paraId="26A58D2D" w16cid:durableId="20A7EE36"/>
  <w16cid:commentId w16cid:paraId="3825C726" w16cid:durableId="20A76AE1"/>
  <w16cid:commentId w16cid:paraId="1C55C171" w16cid:durableId="20A76AE2"/>
  <w16cid:commentId w16cid:paraId="20EACE37" w16cid:durableId="20A76A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D9D4C" w14:textId="77777777" w:rsidR="00E70750" w:rsidRDefault="00E70750" w:rsidP="00DC6979">
      <w:pPr>
        <w:spacing w:after="0" w:line="240" w:lineRule="auto"/>
      </w:pPr>
      <w:r>
        <w:separator/>
      </w:r>
    </w:p>
  </w:endnote>
  <w:endnote w:type="continuationSeparator" w:id="0">
    <w:p w14:paraId="2A81D4A7" w14:textId="77777777" w:rsidR="00E70750" w:rsidRDefault="00E70750"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9E798" w14:textId="77777777" w:rsidR="00807762" w:rsidRDefault="00807762">
    <w:pPr>
      <w:pStyle w:val="Footer"/>
      <w:jc w:val="center"/>
    </w:pPr>
  </w:p>
  <w:p w14:paraId="0746713D" w14:textId="77777777" w:rsidR="00807762" w:rsidRDefault="008077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882CB" w14:textId="77777777" w:rsidR="00011AE4" w:rsidRDefault="00011AE4">
    <w:pPr>
      <w:pStyle w:val="Footer"/>
      <w:jc w:val="center"/>
    </w:pPr>
  </w:p>
  <w:p w14:paraId="1F9E874E" w14:textId="77777777" w:rsidR="00011AE4" w:rsidRDefault="00011A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718B2" w14:textId="77777777" w:rsidR="00E70750" w:rsidRDefault="00E70750" w:rsidP="00DC6979">
      <w:pPr>
        <w:spacing w:after="0" w:line="240" w:lineRule="auto"/>
      </w:pPr>
      <w:r>
        <w:separator/>
      </w:r>
    </w:p>
  </w:footnote>
  <w:footnote w:type="continuationSeparator" w:id="0">
    <w:p w14:paraId="1394C032" w14:textId="77777777" w:rsidR="00E70750" w:rsidRDefault="00E70750"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4EBC4" w14:textId="485C9928" w:rsidR="00D54483" w:rsidRPr="007608DB" w:rsidRDefault="001C1778" w:rsidP="00BD60F7">
    <w:pPr>
      <w:pStyle w:val="Header"/>
      <w:rPr>
        <w:rFonts w:asciiTheme="majorBidi" w:hAnsiTheme="majorBidi" w:cstheme="majorBidi"/>
        <w:b/>
        <w:bCs/>
      </w:rPr>
    </w:pPr>
    <w:r>
      <w:rPr>
        <w:rFonts w:asciiTheme="majorBidi" w:hAnsiTheme="majorBidi" w:cstheme="majorBidi"/>
        <w:b/>
        <w:bCs/>
      </w:rPr>
      <w:t>PIC1</w:t>
    </w:r>
    <w:r w:rsidR="00720366">
      <w:rPr>
        <w:rFonts w:asciiTheme="majorBidi" w:hAnsiTheme="majorBidi" w:cstheme="majorBidi"/>
        <w:b/>
        <w:bCs/>
      </w:rPr>
      <w:t>3</w:t>
    </w:r>
    <w:r>
      <w:rPr>
        <w:rFonts w:asciiTheme="majorBidi" w:hAnsiTheme="majorBidi" w:cstheme="majorBidi"/>
        <w:b/>
        <w:bCs/>
      </w:rPr>
      <w:t>/</w:t>
    </w:r>
    <w:r w:rsidR="007A6759">
      <w:rPr>
        <w:rFonts w:asciiTheme="majorBidi" w:hAnsiTheme="majorBidi" w:cstheme="majorBidi"/>
        <w:b/>
        <w:bCs/>
      </w:rPr>
      <w:t>16</w:t>
    </w:r>
  </w:p>
  <w:p w14:paraId="1025AEAC" w14:textId="77777777" w:rsidR="00D54483" w:rsidRDefault="00D54483" w:rsidP="00BD60F7">
    <w:pPr>
      <w:pStyle w:val="Header"/>
      <w:rPr>
        <w:rFonts w:asciiTheme="majorBidi" w:hAnsiTheme="majorBidi" w:cstheme="majorBidi"/>
        <w:b/>
        <w:bCs/>
        <w:noProof/>
      </w:rPr>
    </w:pPr>
    <w:r w:rsidRPr="007608DB">
      <w:rPr>
        <w:rFonts w:asciiTheme="majorBidi" w:hAnsiTheme="majorBidi" w:cs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38645C">
      <w:rPr>
        <w:rFonts w:asciiTheme="majorBidi" w:hAnsiTheme="majorBidi" w:cstheme="majorBidi"/>
        <w:b/>
        <w:bCs/>
        <w:noProof/>
      </w:rPr>
      <w:t>2</w:t>
    </w:r>
    <w:r w:rsidRPr="007608DB">
      <w:rPr>
        <w:rFonts w:asciiTheme="majorBidi" w:hAnsiTheme="majorBidi" w:cstheme="majorBidi"/>
        <w:b/>
        <w:bCs/>
        <w:noProof/>
      </w:rPr>
      <w:fldChar w:fldCharType="end"/>
    </w:r>
  </w:p>
  <w:p w14:paraId="10AAC8B1" w14:textId="77777777" w:rsidR="00D54483" w:rsidRDefault="00D54483" w:rsidP="00BD60F7">
    <w:pPr>
      <w:pStyle w:val="Header"/>
      <w:rPr>
        <w:rFonts w:asciiTheme="majorBidi" w:hAnsiTheme="majorBidi" w:cstheme="majorBidi"/>
        <w:b/>
        <w:bCs/>
        <w:noProof/>
      </w:rPr>
    </w:pPr>
  </w:p>
  <w:p w14:paraId="02E1D75E" w14:textId="77777777" w:rsidR="00D54483" w:rsidRPr="007608DB" w:rsidRDefault="00D5448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FA74D" w14:textId="59B8263E" w:rsidR="00D54483" w:rsidRDefault="0038645C" w:rsidP="00BD60F7">
    <w:pPr>
      <w:pStyle w:val="Header"/>
      <w:jc w:val="right"/>
      <w:rPr>
        <w:rFonts w:asciiTheme="majorBidi" w:hAnsiTheme="majorBidi" w:cstheme="majorBidi"/>
        <w:b/>
        <w:bCs/>
        <w:noProof/>
      </w:rPr>
    </w:pPr>
    <w:r>
      <w:rPr>
        <w:rFonts w:asciiTheme="majorBidi" w:hAnsiTheme="majorBidi" w:cstheme="majorBidi"/>
        <w:b/>
        <w:bCs/>
      </w:rPr>
      <w:t>PIC13/S4/4</w:t>
    </w:r>
    <w:r>
      <w:rPr>
        <w:rFonts w:asciiTheme="majorBidi" w:hAnsiTheme="majorBidi" w:cstheme="majorBidi"/>
        <w:b/>
        <w:bCs/>
      </w:rPr>
      <w:br/>
    </w:r>
    <w:r w:rsidR="00D54483">
      <w:rPr>
        <w:rFonts w:asciiTheme="majorBidi" w:hAnsiTheme="majorBidi" w:cstheme="majorBidi"/>
        <w:b/>
        <w:bCs/>
      </w:rPr>
      <w:t>p</w:t>
    </w:r>
    <w:r w:rsidR="00D54483" w:rsidRPr="007608DB">
      <w:rPr>
        <w:rFonts w:asciiTheme="majorBidi" w:hAnsiTheme="majorBidi" w:cstheme="majorBidi"/>
        <w:b/>
        <w:bCs/>
      </w:rPr>
      <w:t xml:space="preserve">age </w:t>
    </w:r>
    <w:r w:rsidR="00D54483" w:rsidRPr="007608DB">
      <w:rPr>
        <w:rFonts w:asciiTheme="majorBidi" w:hAnsiTheme="majorBidi" w:cstheme="majorBidi"/>
        <w:b/>
        <w:bCs/>
      </w:rPr>
      <w:fldChar w:fldCharType="begin"/>
    </w:r>
    <w:r w:rsidR="00D54483" w:rsidRPr="007608DB">
      <w:rPr>
        <w:rFonts w:asciiTheme="majorBidi" w:hAnsiTheme="majorBidi" w:cstheme="majorBidi"/>
        <w:b/>
        <w:bCs/>
      </w:rPr>
      <w:instrText xml:space="preserve"> PAGE   \* MERGEFORMAT </w:instrText>
    </w:r>
    <w:r w:rsidR="00D54483" w:rsidRPr="007608DB">
      <w:rPr>
        <w:rFonts w:asciiTheme="majorBidi" w:hAnsiTheme="majorBidi" w:cstheme="majorBidi"/>
        <w:b/>
        <w:bCs/>
      </w:rPr>
      <w:fldChar w:fldCharType="separate"/>
    </w:r>
    <w:r>
      <w:rPr>
        <w:rFonts w:asciiTheme="majorBidi" w:hAnsiTheme="majorBidi" w:cstheme="majorBidi"/>
        <w:b/>
        <w:bCs/>
        <w:noProof/>
      </w:rPr>
      <w:t>2</w:t>
    </w:r>
    <w:r w:rsidR="00D54483" w:rsidRPr="007608DB">
      <w:rPr>
        <w:rFonts w:asciiTheme="majorBidi" w:hAnsiTheme="majorBidi" w:cstheme="majorBidi"/>
        <w:b/>
        <w:bCs/>
        <w:noProof/>
      </w:rPr>
      <w:fldChar w:fldCharType="end"/>
    </w:r>
  </w:p>
  <w:p w14:paraId="0B123B2C" w14:textId="77777777" w:rsidR="00D54483" w:rsidRDefault="00D54483" w:rsidP="00BD60F7">
    <w:pPr>
      <w:pStyle w:val="Header"/>
      <w:jc w:val="right"/>
      <w:rPr>
        <w:rFonts w:asciiTheme="majorBidi" w:hAnsiTheme="majorBidi" w:cstheme="majorBidi"/>
        <w:b/>
        <w:bCs/>
        <w:noProof/>
      </w:rPr>
    </w:pPr>
  </w:p>
  <w:p w14:paraId="5574C6BF" w14:textId="77777777" w:rsidR="00D54483" w:rsidRPr="007608DB" w:rsidRDefault="00D5448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224D3" w14:textId="3E66E8FB" w:rsidR="0038645C" w:rsidRDefault="0038645C" w:rsidP="0038645C">
    <w:pPr>
      <w:pStyle w:val="Header"/>
      <w:jc w:val="center"/>
    </w:pPr>
    <w:r>
      <w:rPr>
        <w:noProof/>
        <w:lang w:val="en-US" w:eastAsia="en-US"/>
      </w:rPr>
      <w:drawing>
        <wp:inline distT="0" distB="0" distL="0" distR="0" wp14:anchorId="0D04AA59" wp14:editId="0707BE8D">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1A05"/>
    <w:multiLevelType w:val="hybridMultilevel"/>
    <w:tmpl w:val="C5F620F8"/>
    <w:lvl w:ilvl="0" w:tplc="0C09000F">
      <w:start w:val="1"/>
      <w:numFmt w:val="decimal"/>
      <w:lvlText w:val="%1."/>
      <w:lvlJc w:val="left"/>
      <w:pPr>
        <w:ind w:left="644" w:hanging="360"/>
      </w:p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
    <w:nsid w:val="15CF6D81"/>
    <w:multiLevelType w:val="multilevel"/>
    <w:tmpl w:val="8A4AA6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AE66473"/>
    <w:multiLevelType w:val="hybridMultilevel"/>
    <w:tmpl w:val="9EACA2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A21281"/>
    <w:multiLevelType w:val="multilevel"/>
    <w:tmpl w:val="BF2A478E"/>
    <w:lvl w:ilvl="0">
      <w:start w:val="1"/>
      <w:numFmt w:val="decimal"/>
      <w:lvlText w:val="%1."/>
      <w:lvlJc w:val="left"/>
      <w:pPr>
        <w:ind w:left="720" w:hanging="360"/>
      </w:pPr>
      <w:rPr>
        <w:rFonts w:eastAsia="Malgun Gothic" w:hint="default"/>
      </w:rPr>
    </w:lvl>
    <w:lvl w:ilvl="1">
      <w:start w:val="1"/>
      <w:numFmt w:val="none"/>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49895E81"/>
    <w:multiLevelType w:val="hybridMultilevel"/>
    <w:tmpl w:val="94028E9E"/>
    <w:lvl w:ilvl="0" w:tplc="0C09000F">
      <w:start w:val="1"/>
      <w:numFmt w:val="decimal"/>
      <w:lvlText w:val="%1."/>
      <w:lvlJc w:val="left"/>
      <w:pPr>
        <w:ind w:left="644" w:hanging="360"/>
      </w:pPr>
      <w:rPr>
        <w:rFonts w:hint="default"/>
      </w:rPr>
    </w:lvl>
    <w:lvl w:ilvl="1" w:tplc="0C090003">
      <w:start w:val="1"/>
      <w:numFmt w:val="bullet"/>
      <w:lvlText w:val="o"/>
      <w:lvlJc w:val="left"/>
      <w:pPr>
        <w:ind w:left="1364" w:hanging="360"/>
      </w:pPr>
      <w:rPr>
        <w:rFonts w:ascii="Courier New" w:hAnsi="Courier New" w:cs="Courier New" w:hint="default"/>
      </w:rPr>
    </w:lvl>
    <w:lvl w:ilvl="2" w:tplc="0C090005">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nsid w:val="59EC06C8"/>
    <w:multiLevelType w:val="hybridMultilevel"/>
    <w:tmpl w:val="8012B8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030B82"/>
    <w:multiLevelType w:val="hybridMultilevel"/>
    <w:tmpl w:val="647AF8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504812"/>
    <w:multiLevelType w:val="multilevel"/>
    <w:tmpl w:val="5B7652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4555A1C"/>
    <w:multiLevelType w:val="hybridMultilevel"/>
    <w:tmpl w:val="950ECB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8"/>
  </w:num>
  <w:num w:numId="5">
    <w:abstractNumId w:val="1"/>
  </w:num>
  <w:num w:numId="6">
    <w:abstractNumId w:val="7"/>
  </w:num>
  <w:num w:numId="7">
    <w:abstractNumId w:val="5"/>
  </w:num>
  <w:num w:numId="8">
    <w:abstractNumId w:val="2"/>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1AE4"/>
    <w:rsid w:val="00021180"/>
    <w:rsid w:val="000212BC"/>
    <w:rsid w:val="00021611"/>
    <w:rsid w:val="000330E5"/>
    <w:rsid w:val="00033849"/>
    <w:rsid w:val="000357A1"/>
    <w:rsid w:val="00042801"/>
    <w:rsid w:val="0004524D"/>
    <w:rsid w:val="0004739D"/>
    <w:rsid w:val="00051326"/>
    <w:rsid w:val="000517AC"/>
    <w:rsid w:val="00053881"/>
    <w:rsid w:val="00053FDA"/>
    <w:rsid w:val="0005441E"/>
    <w:rsid w:val="0005758A"/>
    <w:rsid w:val="00057746"/>
    <w:rsid w:val="000609B3"/>
    <w:rsid w:val="000622A3"/>
    <w:rsid w:val="0006351E"/>
    <w:rsid w:val="00063FDB"/>
    <w:rsid w:val="000646B3"/>
    <w:rsid w:val="00065A23"/>
    <w:rsid w:val="00070C77"/>
    <w:rsid w:val="0007106D"/>
    <w:rsid w:val="00072074"/>
    <w:rsid w:val="00072E30"/>
    <w:rsid w:val="0007551E"/>
    <w:rsid w:val="00075B2E"/>
    <w:rsid w:val="00080A86"/>
    <w:rsid w:val="00080E73"/>
    <w:rsid w:val="00081EEF"/>
    <w:rsid w:val="00085516"/>
    <w:rsid w:val="0008603A"/>
    <w:rsid w:val="000865E3"/>
    <w:rsid w:val="00090851"/>
    <w:rsid w:val="00091380"/>
    <w:rsid w:val="00091DC6"/>
    <w:rsid w:val="000940E0"/>
    <w:rsid w:val="0009537E"/>
    <w:rsid w:val="000964EF"/>
    <w:rsid w:val="000967D6"/>
    <w:rsid w:val="00096CD2"/>
    <w:rsid w:val="000970D4"/>
    <w:rsid w:val="000A1838"/>
    <w:rsid w:val="000A3107"/>
    <w:rsid w:val="000A4CC5"/>
    <w:rsid w:val="000A6500"/>
    <w:rsid w:val="000A7661"/>
    <w:rsid w:val="000B058A"/>
    <w:rsid w:val="000B07B4"/>
    <w:rsid w:val="000B22EA"/>
    <w:rsid w:val="000B2BA4"/>
    <w:rsid w:val="000B3376"/>
    <w:rsid w:val="000B683B"/>
    <w:rsid w:val="000C441F"/>
    <w:rsid w:val="000C617B"/>
    <w:rsid w:val="000C6336"/>
    <w:rsid w:val="000D032C"/>
    <w:rsid w:val="000D28B0"/>
    <w:rsid w:val="000D4B86"/>
    <w:rsid w:val="000D5B4B"/>
    <w:rsid w:val="000D631C"/>
    <w:rsid w:val="000D6FF4"/>
    <w:rsid w:val="000D70E9"/>
    <w:rsid w:val="000E0FE6"/>
    <w:rsid w:val="000E19CD"/>
    <w:rsid w:val="000E2699"/>
    <w:rsid w:val="000E5212"/>
    <w:rsid w:val="000E66D8"/>
    <w:rsid w:val="000E6C33"/>
    <w:rsid w:val="000F080A"/>
    <w:rsid w:val="000F0A55"/>
    <w:rsid w:val="000F17EA"/>
    <w:rsid w:val="000F34F6"/>
    <w:rsid w:val="000F5EF1"/>
    <w:rsid w:val="0010585B"/>
    <w:rsid w:val="0010770D"/>
    <w:rsid w:val="00114B13"/>
    <w:rsid w:val="001214F0"/>
    <w:rsid w:val="001218CE"/>
    <w:rsid w:val="001244B3"/>
    <w:rsid w:val="00124E49"/>
    <w:rsid w:val="00126794"/>
    <w:rsid w:val="00126D12"/>
    <w:rsid w:val="0013523D"/>
    <w:rsid w:val="00144C80"/>
    <w:rsid w:val="001478F5"/>
    <w:rsid w:val="00147EC4"/>
    <w:rsid w:val="00150E8C"/>
    <w:rsid w:val="00152E28"/>
    <w:rsid w:val="00154857"/>
    <w:rsid w:val="001549B8"/>
    <w:rsid w:val="0015752E"/>
    <w:rsid w:val="00163607"/>
    <w:rsid w:val="001645ED"/>
    <w:rsid w:val="001660FA"/>
    <w:rsid w:val="00166CD2"/>
    <w:rsid w:val="00166F39"/>
    <w:rsid w:val="00170ADA"/>
    <w:rsid w:val="00170DB4"/>
    <w:rsid w:val="00171B6D"/>
    <w:rsid w:val="00172B5F"/>
    <w:rsid w:val="00173C3D"/>
    <w:rsid w:val="001775FD"/>
    <w:rsid w:val="00181925"/>
    <w:rsid w:val="00192BD2"/>
    <w:rsid w:val="00192CD9"/>
    <w:rsid w:val="00195526"/>
    <w:rsid w:val="001A068D"/>
    <w:rsid w:val="001A0F5F"/>
    <w:rsid w:val="001A18B9"/>
    <w:rsid w:val="001A2492"/>
    <w:rsid w:val="001B2385"/>
    <w:rsid w:val="001B4BAE"/>
    <w:rsid w:val="001B4C4B"/>
    <w:rsid w:val="001B53A5"/>
    <w:rsid w:val="001B595B"/>
    <w:rsid w:val="001C034B"/>
    <w:rsid w:val="001C1778"/>
    <w:rsid w:val="001C26B3"/>
    <w:rsid w:val="001C37CE"/>
    <w:rsid w:val="001C38F8"/>
    <w:rsid w:val="001C6670"/>
    <w:rsid w:val="001E2E4F"/>
    <w:rsid w:val="001E46F5"/>
    <w:rsid w:val="001E4A38"/>
    <w:rsid w:val="001E6E24"/>
    <w:rsid w:val="001F1D88"/>
    <w:rsid w:val="001F3354"/>
    <w:rsid w:val="001F450F"/>
    <w:rsid w:val="001F60B6"/>
    <w:rsid w:val="001F6C62"/>
    <w:rsid w:val="001F7017"/>
    <w:rsid w:val="002007E7"/>
    <w:rsid w:val="00204055"/>
    <w:rsid w:val="002075EA"/>
    <w:rsid w:val="00211607"/>
    <w:rsid w:val="00220E92"/>
    <w:rsid w:val="00221229"/>
    <w:rsid w:val="0022338A"/>
    <w:rsid w:val="00223E04"/>
    <w:rsid w:val="00223F11"/>
    <w:rsid w:val="00226E91"/>
    <w:rsid w:val="0022780C"/>
    <w:rsid w:val="00232209"/>
    <w:rsid w:val="00232B56"/>
    <w:rsid w:val="0023352A"/>
    <w:rsid w:val="00233644"/>
    <w:rsid w:val="00235AE2"/>
    <w:rsid w:val="00240D57"/>
    <w:rsid w:val="00247B8B"/>
    <w:rsid w:val="00251BFF"/>
    <w:rsid w:val="0025548C"/>
    <w:rsid w:val="002556A7"/>
    <w:rsid w:val="002564F0"/>
    <w:rsid w:val="002570EB"/>
    <w:rsid w:val="00257D05"/>
    <w:rsid w:val="00260F9A"/>
    <w:rsid w:val="00261CB5"/>
    <w:rsid w:val="00262450"/>
    <w:rsid w:val="00262AEA"/>
    <w:rsid w:val="00265C4C"/>
    <w:rsid w:val="00266110"/>
    <w:rsid w:val="00267526"/>
    <w:rsid w:val="002677B3"/>
    <w:rsid w:val="00271E93"/>
    <w:rsid w:val="0027335F"/>
    <w:rsid w:val="00274684"/>
    <w:rsid w:val="00274FBF"/>
    <w:rsid w:val="00275836"/>
    <w:rsid w:val="0027646C"/>
    <w:rsid w:val="00276BC2"/>
    <w:rsid w:val="00281C02"/>
    <w:rsid w:val="00283F3D"/>
    <w:rsid w:val="002840E5"/>
    <w:rsid w:val="0028450B"/>
    <w:rsid w:val="00286272"/>
    <w:rsid w:val="00286473"/>
    <w:rsid w:val="002864BA"/>
    <w:rsid w:val="00287C2C"/>
    <w:rsid w:val="00290DA3"/>
    <w:rsid w:val="002916EE"/>
    <w:rsid w:val="00294CEE"/>
    <w:rsid w:val="00297C64"/>
    <w:rsid w:val="002A0B3B"/>
    <w:rsid w:val="002A22F9"/>
    <w:rsid w:val="002A4128"/>
    <w:rsid w:val="002A531D"/>
    <w:rsid w:val="002A5D02"/>
    <w:rsid w:val="002A6F1B"/>
    <w:rsid w:val="002B3697"/>
    <w:rsid w:val="002B4367"/>
    <w:rsid w:val="002B4B36"/>
    <w:rsid w:val="002B643D"/>
    <w:rsid w:val="002B6ECD"/>
    <w:rsid w:val="002C24B4"/>
    <w:rsid w:val="002C2961"/>
    <w:rsid w:val="002C32BC"/>
    <w:rsid w:val="002C47A5"/>
    <w:rsid w:val="002C48DE"/>
    <w:rsid w:val="002C5CEB"/>
    <w:rsid w:val="002D04EA"/>
    <w:rsid w:val="002D4A80"/>
    <w:rsid w:val="002D7683"/>
    <w:rsid w:val="002F1038"/>
    <w:rsid w:val="002F24BA"/>
    <w:rsid w:val="002F267B"/>
    <w:rsid w:val="002F3C26"/>
    <w:rsid w:val="00303F03"/>
    <w:rsid w:val="003053D9"/>
    <w:rsid w:val="00305C89"/>
    <w:rsid w:val="003160F4"/>
    <w:rsid w:val="00320487"/>
    <w:rsid w:val="00320BF8"/>
    <w:rsid w:val="00321839"/>
    <w:rsid w:val="00321B6E"/>
    <w:rsid w:val="003262C1"/>
    <w:rsid w:val="003275BD"/>
    <w:rsid w:val="003307C6"/>
    <w:rsid w:val="003318EA"/>
    <w:rsid w:val="003321CF"/>
    <w:rsid w:val="0033281D"/>
    <w:rsid w:val="00332BF4"/>
    <w:rsid w:val="00333DE1"/>
    <w:rsid w:val="00341DFC"/>
    <w:rsid w:val="003425E2"/>
    <w:rsid w:val="003437FC"/>
    <w:rsid w:val="0034453B"/>
    <w:rsid w:val="00345E46"/>
    <w:rsid w:val="00347141"/>
    <w:rsid w:val="00347D57"/>
    <w:rsid w:val="00352346"/>
    <w:rsid w:val="003524DF"/>
    <w:rsid w:val="00352844"/>
    <w:rsid w:val="003607BD"/>
    <w:rsid w:val="00361033"/>
    <w:rsid w:val="00361D92"/>
    <w:rsid w:val="003624C2"/>
    <w:rsid w:val="00363517"/>
    <w:rsid w:val="00363999"/>
    <w:rsid w:val="00363B5A"/>
    <w:rsid w:val="003647B9"/>
    <w:rsid w:val="00364CB3"/>
    <w:rsid w:val="00370C36"/>
    <w:rsid w:val="0037231D"/>
    <w:rsid w:val="00373184"/>
    <w:rsid w:val="00373585"/>
    <w:rsid w:val="0037460D"/>
    <w:rsid w:val="00374672"/>
    <w:rsid w:val="003754B2"/>
    <w:rsid w:val="003848C6"/>
    <w:rsid w:val="0038645C"/>
    <w:rsid w:val="00391969"/>
    <w:rsid w:val="00391C32"/>
    <w:rsid w:val="003965BF"/>
    <w:rsid w:val="003977B0"/>
    <w:rsid w:val="003A0B77"/>
    <w:rsid w:val="003A18F3"/>
    <w:rsid w:val="003A6CDC"/>
    <w:rsid w:val="003A7A3E"/>
    <w:rsid w:val="003B0C3B"/>
    <w:rsid w:val="003B33B9"/>
    <w:rsid w:val="003B465A"/>
    <w:rsid w:val="003B603E"/>
    <w:rsid w:val="003C0FF6"/>
    <w:rsid w:val="003C1B8C"/>
    <w:rsid w:val="003C6456"/>
    <w:rsid w:val="003D00DA"/>
    <w:rsid w:val="003D0494"/>
    <w:rsid w:val="003D35A8"/>
    <w:rsid w:val="003D594F"/>
    <w:rsid w:val="003E4555"/>
    <w:rsid w:val="003E5359"/>
    <w:rsid w:val="003E5477"/>
    <w:rsid w:val="003E661C"/>
    <w:rsid w:val="003F13A5"/>
    <w:rsid w:val="003F1F6A"/>
    <w:rsid w:val="003F361A"/>
    <w:rsid w:val="003F782D"/>
    <w:rsid w:val="00403B84"/>
    <w:rsid w:val="00404012"/>
    <w:rsid w:val="0040421F"/>
    <w:rsid w:val="00405361"/>
    <w:rsid w:val="00412625"/>
    <w:rsid w:val="00412F25"/>
    <w:rsid w:val="00413521"/>
    <w:rsid w:val="00415347"/>
    <w:rsid w:val="00422252"/>
    <w:rsid w:val="004230CD"/>
    <w:rsid w:val="00423138"/>
    <w:rsid w:val="00424479"/>
    <w:rsid w:val="00424E69"/>
    <w:rsid w:val="0042627B"/>
    <w:rsid w:val="00434873"/>
    <w:rsid w:val="00436333"/>
    <w:rsid w:val="00436C80"/>
    <w:rsid w:val="00440011"/>
    <w:rsid w:val="0044045F"/>
    <w:rsid w:val="004438C0"/>
    <w:rsid w:val="00453276"/>
    <w:rsid w:val="00457E6A"/>
    <w:rsid w:val="00461CDE"/>
    <w:rsid w:val="004657B5"/>
    <w:rsid w:val="00466D79"/>
    <w:rsid w:val="004676BA"/>
    <w:rsid w:val="00471432"/>
    <w:rsid w:val="004719D7"/>
    <w:rsid w:val="0047652F"/>
    <w:rsid w:val="004805A7"/>
    <w:rsid w:val="00483A00"/>
    <w:rsid w:val="00483B3A"/>
    <w:rsid w:val="00487AA0"/>
    <w:rsid w:val="00492385"/>
    <w:rsid w:val="0049356C"/>
    <w:rsid w:val="00494B90"/>
    <w:rsid w:val="00496AC7"/>
    <w:rsid w:val="004A11AB"/>
    <w:rsid w:val="004A1C60"/>
    <w:rsid w:val="004A2696"/>
    <w:rsid w:val="004A3BEA"/>
    <w:rsid w:val="004A6502"/>
    <w:rsid w:val="004B1395"/>
    <w:rsid w:val="004B32E7"/>
    <w:rsid w:val="004B3EA8"/>
    <w:rsid w:val="004B441F"/>
    <w:rsid w:val="004B5D52"/>
    <w:rsid w:val="004B716B"/>
    <w:rsid w:val="004B78B6"/>
    <w:rsid w:val="004C0E34"/>
    <w:rsid w:val="004C3CA8"/>
    <w:rsid w:val="004C5D38"/>
    <w:rsid w:val="004D43AC"/>
    <w:rsid w:val="004D57E5"/>
    <w:rsid w:val="004E05DF"/>
    <w:rsid w:val="004E0DBC"/>
    <w:rsid w:val="004E1B5C"/>
    <w:rsid w:val="004E4609"/>
    <w:rsid w:val="004E480B"/>
    <w:rsid w:val="004E4A10"/>
    <w:rsid w:val="004E4A66"/>
    <w:rsid w:val="004E4B10"/>
    <w:rsid w:val="004E78FA"/>
    <w:rsid w:val="004F503D"/>
    <w:rsid w:val="004F5DBA"/>
    <w:rsid w:val="0050422B"/>
    <w:rsid w:val="0050591B"/>
    <w:rsid w:val="00516E7B"/>
    <w:rsid w:val="005176B2"/>
    <w:rsid w:val="00523403"/>
    <w:rsid w:val="00526DE6"/>
    <w:rsid w:val="00533B65"/>
    <w:rsid w:val="00534DFF"/>
    <w:rsid w:val="00544620"/>
    <w:rsid w:val="00547F02"/>
    <w:rsid w:val="00551A4B"/>
    <w:rsid w:val="00552611"/>
    <w:rsid w:val="00552A13"/>
    <w:rsid w:val="00554C75"/>
    <w:rsid w:val="00555B27"/>
    <w:rsid w:val="00556CF2"/>
    <w:rsid w:val="00560443"/>
    <w:rsid w:val="00560E73"/>
    <w:rsid w:val="00564AEE"/>
    <w:rsid w:val="00567814"/>
    <w:rsid w:val="00573F62"/>
    <w:rsid w:val="00576E43"/>
    <w:rsid w:val="00581A40"/>
    <w:rsid w:val="00583853"/>
    <w:rsid w:val="0058665E"/>
    <w:rsid w:val="00587D82"/>
    <w:rsid w:val="00593BFB"/>
    <w:rsid w:val="005A1E01"/>
    <w:rsid w:val="005A32B9"/>
    <w:rsid w:val="005A4998"/>
    <w:rsid w:val="005A4E0C"/>
    <w:rsid w:val="005A6E4E"/>
    <w:rsid w:val="005B05E5"/>
    <w:rsid w:val="005B46C8"/>
    <w:rsid w:val="005C00F0"/>
    <w:rsid w:val="005C0379"/>
    <w:rsid w:val="005C07C8"/>
    <w:rsid w:val="005C0EA0"/>
    <w:rsid w:val="005C32C7"/>
    <w:rsid w:val="005C71AD"/>
    <w:rsid w:val="005C7BFC"/>
    <w:rsid w:val="005D0A39"/>
    <w:rsid w:val="005D2ADF"/>
    <w:rsid w:val="005D4E10"/>
    <w:rsid w:val="005D6694"/>
    <w:rsid w:val="005D6DD8"/>
    <w:rsid w:val="005D6F63"/>
    <w:rsid w:val="005D7D58"/>
    <w:rsid w:val="005E08CF"/>
    <w:rsid w:val="005E1A28"/>
    <w:rsid w:val="005E5C65"/>
    <w:rsid w:val="005F047C"/>
    <w:rsid w:val="005F27E5"/>
    <w:rsid w:val="005F3FFE"/>
    <w:rsid w:val="005F425E"/>
    <w:rsid w:val="005F42E3"/>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1FE7"/>
    <w:rsid w:val="00615DD2"/>
    <w:rsid w:val="00616422"/>
    <w:rsid w:val="00617D2F"/>
    <w:rsid w:val="006259B0"/>
    <w:rsid w:val="00626A0B"/>
    <w:rsid w:val="00626D85"/>
    <w:rsid w:val="0063200E"/>
    <w:rsid w:val="0063532E"/>
    <w:rsid w:val="006445F7"/>
    <w:rsid w:val="006457B3"/>
    <w:rsid w:val="0065404F"/>
    <w:rsid w:val="0065755C"/>
    <w:rsid w:val="006607C8"/>
    <w:rsid w:val="006611E7"/>
    <w:rsid w:val="006639F5"/>
    <w:rsid w:val="00663B51"/>
    <w:rsid w:val="00666CCB"/>
    <w:rsid w:val="006678DE"/>
    <w:rsid w:val="00667CD3"/>
    <w:rsid w:val="00676860"/>
    <w:rsid w:val="00677F4D"/>
    <w:rsid w:val="00680679"/>
    <w:rsid w:val="00681FAD"/>
    <w:rsid w:val="00683760"/>
    <w:rsid w:val="006840E1"/>
    <w:rsid w:val="00684809"/>
    <w:rsid w:val="00690A79"/>
    <w:rsid w:val="00693E06"/>
    <w:rsid w:val="00695A5C"/>
    <w:rsid w:val="006A1B0C"/>
    <w:rsid w:val="006A548B"/>
    <w:rsid w:val="006A6523"/>
    <w:rsid w:val="006A6B56"/>
    <w:rsid w:val="006B1200"/>
    <w:rsid w:val="006B23B6"/>
    <w:rsid w:val="006B3E28"/>
    <w:rsid w:val="006B4CDF"/>
    <w:rsid w:val="006B775B"/>
    <w:rsid w:val="006C0571"/>
    <w:rsid w:val="006C4067"/>
    <w:rsid w:val="006C5D3F"/>
    <w:rsid w:val="006C6039"/>
    <w:rsid w:val="006C7BAE"/>
    <w:rsid w:val="006D1118"/>
    <w:rsid w:val="006D1795"/>
    <w:rsid w:val="006D6221"/>
    <w:rsid w:val="006D6440"/>
    <w:rsid w:val="006E21E8"/>
    <w:rsid w:val="006E2BB8"/>
    <w:rsid w:val="006E5BF7"/>
    <w:rsid w:val="006E6AD9"/>
    <w:rsid w:val="006E7CE0"/>
    <w:rsid w:val="006F105F"/>
    <w:rsid w:val="006F43E1"/>
    <w:rsid w:val="006F45CE"/>
    <w:rsid w:val="006F49C8"/>
    <w:rsid w:val="00701374"/>
    <w:rsid w:val="00705591"/>
    <w:rsid w:val="00705EF1"/>
    <w:rsid w:val="00717161"/>
    <w:rsid w:val="00720366"/>
    <w:rsid w:val="007205E4"/>
    <w:rsid w:val="00721BF0"/>
    <w:rsid w:val="00725401"/>
    <w:rsid w:val="00725C78"/>
    <w:rsid w:val="007277D6"/>
    <w:rsid w:val="007319B0"/>
    <w:rsid w:val="00733B6D"/>
    <w:rsid w:val="0073441A"/>
    <w:rsid w:val="00737AB6"/>
    <w:rsid w:val="0074074F"/>
    <w:rsid w:val="007418C1"/>
    <w:rsid w:val="00741F24"/>
    <w:rsid w:val="00743918"/>
    <w:rsid w:val="007450BD"/>
    <w:rsid w:val="00750A2F"/>
    <w:rsid w:val="007524AE"/>
    <w:rsid w:val="007537CE"/>
    <w:rsid w:val="00753F64"/>
    <w:rsid w:val="007547B3"/>
    <w:rsid w:val="00755F07"/>
    <w:rsid w:val="007608DB"/>
    <w:rsid w:val="00761101"/>
    <w:rsid w:val="007613D5"/>
    <w:rsid w:val="00762300"/>
    <w:rsid w:val="007638F1"/>
    <w:rsid w:val="0076390C"/>
    <w:rsid w:val="0076562E"/>
    <w:rsid w:val="00765E53"/>
    <w:rsid w:val="00767903"/>
    <w:rsid w:val="00767B8E"/>
    <w:rsid w:val="00767E13"/>
    <w:rsid w:val="0077280F"/>
    <w:rsid w:val="007729B2"/>
    <w:rsid w:val="00774469"/>
    <w:rsid w:val="00776FB8"/>
    <w:rsid w:val="00777BB3"/>
    <w:rsid w:val="00777BEF"/>
    <w:rsid w:val="0078141B"/>
    <w:rsid w:val="0078171A"/>
    <w:rsid w:val="00790DF6"/>
    <w:rsid w:val="00790F67"/>
    <w:rsid w:val="007932A1"/>
    <w:rsid w:val="00793CD6"/>
    <w:rsid w:val="0079439A"/>
    <w:rsid w:val="007946E1"/>
    <w:rsid w:val="00794D56"/>
    <w:rsid w:val="00795B89"/>
    <w:rsid w:val="00796CF2"/>
    <w:rsid w:val="007973E4"/>
    <w:rsid w:val="007A182D"/>
    <w:rsid w:val="007A5D27"/>
    <w:rsid w:val="007A6759"/>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10A6"/>
    <w:rsid w:val="007E1369"/>
    <w:rsid w:val="007E3425"/>
    <w:rsid w:val="007E504D"/>
    <w:rsid w:val="007E604F"/>
    <w:rsid w:val="007E6CA0"/>
    <w:rsid w:val="007F02E0"/>
    <w:rsid w:val="007F1ADA"/>
    <w:rsid w:val="007F6195"/>
    <w:rsid w:val="008023DD"/>
    <w:rsid w:val="00807762"/>
    <w:rsid w:val="00810147"/>
    <w:rsid w:val="00812D11"/>
    <w:rsid w:val="00816680"/>
    <w:rsid w:val="00817BD6"/>
    <w:rsid w:val="00820E7B"/>
    <w:rsid w:val="00821173"/>
    <w:rsid w:val="00822393"/>
    <w:rsid w:val="008223FB"/>
    <w:rsid w:val="00823F99"/>
    <w:rsid w:val="008256AD"/>
    <w:rsid w:val="00830D79"/>
    <w:rsid w:val="00836E7B"/>
    <w:rsid w:val="0084043F"/>
    <w:rsid w:val="008425E6"/>
    <w:rsid w:val="0084501E"/>
    <w:rsid w:val="00850418"/>
    <w:rsid w:val="00850E11"/>
    <w:rsid w:val="00851F89"/>
    <w:rsid w:val="008555A9"/>
    <w:rsid w:val="00860860"/>
    <w:rsid w:val="00863C7D"/>
    <w:rsid w:val="00863FFB"/>
    <w:rsid w:val="00864CD7"/>
    <w:rsid w:val="00864FC7"/>
    <w:rsid w:val="00866511"/>
    <w:rsid w:val="00866D1B"/>
    <w:rsid w:val="00871239"/>
    <w:rsid w:val="00872251"/>
    <w:rsid w:val="00876910"/>
    <w:rsid w:val="00876DEC"/>
    <w:rsid w:val="00880048"/>
    <w:rsid w:val="00884583"/>
    <w:rsid w:val="0088477D"/>
    <w:rsid w:val="008871AB"/>
    <w:rsid w:val="00887580"/>
    <w:rsid w:val="00895A58"/>
    <w:rsid w:val="008A3A8C"/>
    <w:rsid w:val="008A3D4F"/>
    <w:rsid w:val="008A5C75"/>
    <w:rsid w:val="008B3ABF"/>
    <w:rsid w:val="008C100A"/>
    <w:rsid w:val="008C1EF4"/>
    <w:rsid w:val="008C6101"/>
    <w:rsid w:val="008C6B20"/>
    <w:rsid w:val="008D1246"/>
    <w:rsid w:val="008D20CE"/>
    <w:rsid w:val="008D506B"/>
    <w:rsid w:val="008D50FB"/>
    <w:rsid w:val="008D67A9"/>
    <w:rsid w:val="008D721E"/>
    <w:rsid w:val="008E0650"/>
    <w:rsid w:val="008E0E4B"/>
    <w:rsid w:val="008E201E"/>
    <w:rsid w:val="008E2CBE"/>
    <w:rsid w:val="008F0665"/>
    <w:rsid w:val="008F0FAF"/>
    <w:rsid w:val="008F1ABF"/>
    <w:rsid w:val="008F3C44"/>
    <w:rsid w:val="008F5AF5"/>
    <w:rsid w:val="008F683C"/>
    <w:rsid w:val="008F68B0"/>
    <w:rsid w:val="00902EE8"/>
    <w:rsid w:val="009065FC"/>
    <w:rsid w:val="00906AB8"/>
    <w:rsid w:val="00906EE6"/>
    <w:rsid w:val="0090737E"/>
    <w:rsid w:val="00912F4F"/>
    <w:rsid w:val="00913E4A"/>
    <w:rsid w:val="009178CC"/>
    <w:rsid w:val="0092057B"/>
    <w:rsid w:val="009206E8"/>
    <w:rsid w:val="00921D4C"/>
    <w:rsid w:val="00922580"/>
    <w:rsid w:val="00923F44"/>
    <w:rsid w:val="0093381D"/>
    <w:rsid w:val="00934FF4"/>
    <w:rsid w:val="00935B58"/>
    <w:rsid w:val="0094181C"/>
    <w:rsid w:val="00941A76"/>
    <w:rsid w:val="00941C5C"/>
    <w:rsid w:val="0094331C"/>
    <w:rsid w:val="00950306"/>
    <w:rsid w:val="00951054"/>
    <w:rsid w:val="00951607"/>
    <w:rsid w:val="00951973"/>
    <w:rsid w:val="00952F18"/>
    <w:rsid w:val="00954294"/>
    <w:rsid w:val="0095462D"/>
    <w:rsid w:val="0096117E"/>
    <w:rsid w:val="00961F20"/>
    <w:rsid w:val="00965DB5"/>
    <w:rsid w:val="00971C9A"/>
    <w:rsid w:val="009742D3"/>
    <w:rsid w:val="0098086C"/>
    <w:rsid w:val="009830E0"/>
    <w:rsid w:val="0098525D"/>
    <w:rsid w:val="00986AF7"/>
    <w:rsid w:val="0098717E"/>
    <w:rsid w:val="00987475"/>
    <w:rsid w:val="009A098F"/>
    <w:rsid w:val="009A160E"/>
    <w:rsid w:val="009A4279"/>
    <w:rsid w:val="009A46E8"/>
    <w:rsid w:val="009A5700"/>
    <w:rsid w:val="009A59CE"/>
    <w:rsid w:val="009B03E6"/>
    <w:rsid w:val="009B048F"/>
    <w:rsid w:val="009B6945"/>
    <w:rsid w:val="009C0117"/>
    <w:rsid w:val="009C60DD"/>
    <w:rsid w:val="009C6F47"/>
    <w:rsid w:val="009D043F"/>
    <w:rsid w:val="009D4270"/>
    <w:rsid w:val="009D6B41"/>
    <w:rsid w:val="009E0188"/>
    <w:rsid w:val="009E15A6"/>
    <w:rsid w:val="009E4CD1"/>
    <w:rsid w:val="009E6D03"/>
    <w:rsid w:val="009E71DE"/>
    <w:rsid w:val="009F012F"/>
    <w:rsid w:val="009F12CB"/>
    <w:rsid w:val="009F2764"/>
    <w:rsid w:val="009F6B84"/>
    <w:rsid w:val="009F7448"/>
    <w:rsid w:val="009F7CDF"/>
    <w:rsid w:val="00A0226E"/>
    <w:rsid w:val="00A0260E"/>
    <w:rsid w:val="00A03DFC"/>
    <w:rsid w:val="00A03E5D"/>
    <w:rsid w:val="00A07C65"/>
    <w:rsid w:val="00A1004D"/>
    <w:rsid w:val="00A10828"/>
    <w:rsid w:val="00A10969"/>
    <w:rsid w:val="00A115FB"/>
    <w:rsid w:val="00A11F36"/>
    <w:rsid w:val="00A17A13"/>
    <w:rsid w:val="00A222F7"/>
    <w:rsid w:val="00A2274B"/>
    <w:rsid w:val="00A22F96"/>
    <w:rsid w:val="00A232A0"/>
    <w:rsid w:val="00A24519"/>
    <w:rsid w:val="00A247FB"/>
    <w:rsid w:val="00A2502B"/>
    <w:rsid w:val="00A27C2B"/>
    <w:rsid w:val="00A30DEA"/>
    <w:rsid w:val="00A32A5E"/>
    <w:rsid w:val="00A32EEE"/>
    <w:rsid w:val="00A34DDA"/>
    <w:rsid w:val="00A36D4D"/>
    <w:rsid w:val="00A3748D"/>
    <w:rsid w:val="00A4075B"/>
    <w:rsid w:val="00A45B5B"/>
    <w:rsid w:val="00A516B6"/>
    <w:rsid w:val="00A53D52"/>
    <w:rsid w:val="00A53E09"/>
    <w:rsid w:val="00A54F98"/>
    <w:rsid w:val="00A553B1"/>
    <w:rsid w:val="00A60719"/>
    <w:rsid w:val="00A61CAD"/>
    <w:rsid w:val="00A63B38"/>
    <w:rsid w:val="00A7119E"/>
    <w:rsid w:val="00A719A8"/>
    <w:rsid w:val="00A71E8D"/>
    <w:rsid w:val="00A72F3C"/>
    <w:rsid w:val="00A735CC"/>
    <w:rsid w:val="00A769F4"/>
    <w:rsid w:val="00A80B11"/>
    <w:rsid w:val="00A82AB2"/>
    <w:rsid w:val="00A837D0"/>
    <w:rsid w:val="00A852A5"/>
    <w:rsid w:val="00A87035"/>
    <w:rsid w:val="00A8726E"/>
    <w:rsid w:val="00A901AE"/>
    <w:rsid w:val="00A90B4C"/>
    <w:rsid w:val="00A91787"/>
    <w:rsid w:val="00A91F13"/>
    <w:rsid w:val="00A927A2"/>
    <w:rsid w:val="00A9317D"/>
    <w:rsid w:val="00AA281A"/>
    <w:rsid w:val="00AA444F"/>
    <w:rsid w:val="00AA5996"/>
    <w:rsid w:val="00AB50EC"/>
    <w:rsid w:val="00AB6048"/>
    <w:rsid w:val="00AB7A37"/>
    <w:rsid w:val="00AC3E61"/>
    <w:rsid w:val="00AC4090"/>
    <w:rsid w:val="00AC65D8"/>
    <w:rsid w:val="00AC7E5B"/>
    <w:rsid w:val="00AD15A1"/>
    <w:rsid w:val="00AD1CEF"/>
    <w:rsid w:val="00AD2F34"/>
    <w:rsid w:val="00AD614C"/>
    <w:rsid w:val="00AD7158"/>
    <w:rsid w:val="00AE064A"/>
    <w:rsid w:val="00AE0B9D"/>
    <w:rsid w:val="00AE2542"/>
    <w:rsid w:val="00AE2DA1"/>
    <w:rsid w:val="00AE3D1F"/>
    <w:rsid w:val="00AE3D4A"/>
    <w:rsid w:val="00AE5220"/>
    <w:rsid w:val="00AF008F"/>
    <w:rsid w:val="00AF2D2C"/>
    <w:rsid w:val="00AF339D"/>
    <w:rsid w:val="00AF5EAB"/>
    <w:rsid w:val="00AF651A"/>
    <w:rsid w:val="00AF7BC2"/>
    <w:rsid w:val="00AF7D97"/>
    <w:rsid w:val="00B00A00"/>
    <w:rsid w:val="00B01571"/>
    <w:rsid w:val="00B0398E"/>
    <w:rsid w:val="00B045E9"/>
    <w:rsid w:val="00B06FF6"/>
    <w:rsid w:val="00B11040"/>
    <w:rsid w:val="00B116BD"/>
    <w:rsid w:val="00B30833"/>
    <w:rsid w:val="00B32162"/>
    <w:rsid w:val="00B377BE"/>
    <w:rsid w:val="00B41229"/>
    <w:rsid w:val="00B41EF5"/>
    <w:rsid w:val="00B51D77"/>
    <w:rsid w:val="00B52340"/>
    <w:rsid w:val="00B53478"/>
    <w:rsid w:val="00B54302"/>
    <w:rsid w:val="00B55196"/>
    <w:rsid w:val="00B55DBB"/>
    <w:rsid w:val="00B56B20"/>
    <w:rsid w:val="00B5712A"/>
    <w:rsid w:val="00B63BCD"/>
    <w:rsid w:val="00B6640F"/>
    <w:rsid w:val="00B66EB9"/>
    <w:rsid w:val="00B705ED"/>
    <w:rsid w:val="00B753A8"/>
    <w:rsid w:val="00B756A0"/>
    <w:rsid w:val="00B77724"/>
    <w:rsid w:val="00B81445"/>
    <w:rsid w:val="00B81FE0"/>
    <w:rsid w:val="00B8488C"/>
    <w:rsid w:val="00B8751C"/>
    <w:rsid w:val="00B92858"/>
    <w:rsid w:val="00B9350E"/>
    <w:rsid w:val="00B95B55"/>
    <w:rsid w:val="00B9613D"/>
    <w:rsid w:val="00B96AA2"/>
    <w:rsid w:val="00BA4AE6"/>
    <w:rsid w:val="00BB1B66"/>
    <w:rsid w:val="00BB2C9A"/>
    <w:rsid w:val="00BB3414"/>
    <w:rsid w:val="00BB5003"/>
    <w:rsid w:val="00BC1569"/>
    <w:rsid w:val="00BC1573"/>
    <w:rsid w:val="00BC1918"/>
    <w:rsid w:val="00BC234C"/>
    <w:rsid w:val="00BC278F"/>
    <w:rsid w:val="00BC376B"/>
    <w:rsid w:val="00BC4651"/>
    <w:rsid w:val="00BC5834"/>
    <w:rsid w:val="00BC684E"/>
    <w:rsid w:val="00BC6C16"/>
    <w:rsid w:val="00BD1D1A"/>
    <w:rsid w:val="00BD4C89"/>
    <w:rsid w:val="00BD5FC7"/>
    <w:rsid w:val="00BD60F7"/>
    <w:rsid w:val="00BD6145"/>
    <w:rsid w:val="00BD73B8"/>
    <w:rsid w:val="00BD7C6E"/>
    <w:rsid w:val="00BD7D61"/>
    <w:rsid w:val="00BE1590"/>
    <w:rsid w:val="00BE209F"/>
    <w:rsid w:val="00BE23F9"/>
    <w:rsid w:val="00BE2C02"/>
    <w:rsid w:val="00BE30F3"/>
    <w:rsid w:val="00BE69D8"/>
    <w:rsid w:val="00BF40C2"/>
    <w:rsid w:val="00BF49FE"/>
    <w:rsid w:val="00BF67EF"/>
    <w:rsid w:val="00C01D86"/>
    <w:rsid w:val="00C022E2"/>
    <w:rsid w:val="00C03AC2"/>
    <w:rsid w:val="00C0641C"/>
    <w:rsid w:val="00C10B2A"/>
    <w:rsid w:val="00C113D5"/>
    <w:rsid w:val="00C1193F"/>
    <w:rsid w:val="00C127A5"/>
    <w:rsid w:val="00C139D7"/>
    <w:rsid w:val="00C13E75"/>
    <w:rsid w:val="00C15994"/>
    <w:rsid w:val="00C15CCD"/>
    <w:rsid w:val="00C2157E"/>
    <w:rsid w:val="00C24129"/>
    <w:rsid w:val="00C2451C"/>
    <w:rsid w:val="00C2550B"/>
    <w:rsid w:val="00C26D63"/>
    <w:rsid w:val="00C27D76"/>
    <w:rsid w:val="00C313CF"/>
    <w:rsid w:val="00C3152A"/>
    <w:rsid w:val="00C31B96"/>
    <w:rsid w:val="00C37BB5"/>
    <w:rsid w:val="00C43050"/>
    <w:rsid w:val="00C4392E"/>
    <w:rsid w:val="00C43B4C"/>
    <w:rsid w:val="00C44851"/>
    <w:rsid w:val="00C45DF3"/>
    <w:rsid w:val="00C46E59"/>
    <w:rsid w:val="00C47CF4"/>
    <w:rsid w:val="00C50E39"/>
    <w:rsid w:val="00C52D57"/>
    <w:rsid w:val="00C539AE"/>
    <w:rsid w:val="00C60C20"/>
    <w:rsid w:val="00C628A6"/>
    <w:rsid w:val="00C64CA0"/>
    <w:rsid w:val="00C64D9B"/>
    <w:rsid w:val="00C67A77"/>
    <w:rsid w:val="00C67B3B"/>
    <w:rsid w:val="00C67BC2"/>
    <w:rsid w:val="00C70FA9"/>
    <w:rsid w:val="00C726BD"/>
    <w:rsid w:val="00C75699"/>
    <w:rsid w:val="00C823D2"/>
    <w:rsid w:val="00C8366D"/>
    <w:rsid w:val="00C91B85"/>
    <w:rsid w:val="00C94587"/>
    <w:rsid w:val="00C97A6C"/>
    <w:rsid w:val="00C97F3A"/>
    <w:rsid w:val="00CA0B89"/>
    <w:rsid w:val="00CA1E25"/>
    <w:rsid w:val="00CA254A"/>
    <w:rsid w:val="00CA3311"/>
    <w:rsid w:val="00CA3FC5"/>
    <w:rsid w:val="00CA4A9C"/>
    <w:rsid w:val="00CA5750"/>
    <w:rsid w:val="00CA6AD8"/>
    <w:rsid w:val="00CB105A"/>
    <w:rsid w:val="00CB52D0"/>
    <w:rsid w:val="00CB533C"/>
    <w:rsid w:val="00CB57B1"/>
    <w:rsid w:val="00CB6676"/>
    <w:rsid w:val="00CC032B"/>
    <w:rsid w:val="00CC1B34"/>
    <w:rsid w:val="00CC2C94"/>
    <w:rsid w:val="00CC4BE2"/>
    <w:rsid w:val="00CC7A88"/>
    <w:rsid w:val="00CD0B05"/>
    <w:rsid w:val="00CD0B4C"/>
    <w:rsid w:val="00CD10FF"/>
    <w:rsid w:val="00CD19E2"/>
    <w:rsid w:val="00CD6746"/>
    <w:rsid w:val="00CE1B17"/>
    <w:rsid w:val="00CE30D4"/>
    <w:rsid w:val="00CE41E8"/>
    <w:rsid w:val="00CE7B0E"/>
    <w:rsid w:val="00CF1ACA"/>
    <w:rsid w:val="00CF7FD5"/>
    <w:rsid w:val="00D01C91"/>
    <w:rsid w:val="00D04D3F"/>
    <w:rsid w:val="00D05A0A"/>
    <w:rsid w:val="00D06392"/>
    <w:rsid w:val="00D07786"/>
    <w:rsid w:val="00D077DC"/>
    <w:rsid w:val="00D07D63"/>
    <w:rsid w:val="00D12492"/>
    <w:rsid w:val="00D13542"/>
    <w:rsid w:val="00D15499"/>
    <w:rsid w:val="00D2070F"/>
    <w:rsid w:val="00D219EF"/>
    <w:rsid w:val="00D226EA"/>
    <w:rsid w:val="00D24CA7"/>
    <w:rsid w:val="00D26ECF"/>
    <w:rsid w:val="00D3274E"/>
    <w:rsid w:val="00D37451"/>
    <w:rsid w:val="00D42355"/>
    <w:rsid w:val="00D43F7B"/>
    <w:rsid w:val="00D46BE1"/>
    <w:rsid w:val="00D54483"/>
    <w:rsid w:val="00D554E0"/>
    <w:rsid w:val="00D56249"/>
    <w:rsid w:val="00D64E74"/>
    <w:rsid w:val="00D6625D"/>
    <w:rsid w:val="00D7108F"/>
    <w:rsid w:val="00D7181A"/>
    <w:rsid w:val="00D71E8D"/>
    <w:rsid w:val="00D73296"/>
    <w:rsid w:val="00D807CE"/>
    <w:rsid w:val="00D83114"/>
    <w:rsid w:val="00D8783A"/>
    <w:rsid w:val="00D87861"/>
    <w:rsid w:val="00D916A4"/>
    <w:rsid w:val="00D91DCB"/>
    <w:rsid w:val="00D92581"/>
    <w:rsid w:val="00D963F8"/>
    <w:rsid w:val="00D970B0"/>
    <w:rsid w:val="00D97291"/>
    <w:rsid w:val="00DA010B"/>
    <w:rsid w:val="00DA03A2"/>
    <w:rsid w:val="00DA1381"/>
    <w:rsid w:val="00DA1B39"/>
    <w:rsid w:val="00DA377A"/>
    <w:rsid w:val="00DA3C9C"/>
    <w:rsid w:val="00DA5084"/>
    <w:rsid w:val="00DB30C3"/>
    <w:rsid w:val="00DB4033"/>
    <w:rsid w:val="00DB58C8"/>
    <w:rsid w:val="00DC31D4"/>
    <w:rsid w:val="00DC3B0F"/>
    <w:rsid w:val="00DC495E"/>
    <w:rsid w:val="00DC6350"/>
    <w:rsid w:val="00DC6979"/>
    <w:rsid w:val="00DC79DA"/>
    <w:rsid w:val="00DD24F3"/>
    <w:rsid w:val="00DD2E60"/>
    <w:rsid w:val="00DD403E"/>
    <w:rsid w:val="00DD4C7E"/>
    <w:rsid w:val="00DD6ECF"/>
    <w:rsid w:val="00DD7AA6"/>
    <w:rsid w:val="00DE230A"/>
    <w:rsid w:val="00DE34E9"/>
    <w:rsid w:val="00DF0311"/>
    <w:rsid w:val="00DF231A"/>
    <w:rsid w:val="00DF2BE6"/>
    <w:rsid w:val="00DF42C9"/>
    <w:rsid w:val="00DF47D9"/>
    <w:rsid w:val="00DF4899"/>
    <w:rsid w:val="00DF4C30"/>
    <w:rsid w:val="00DF666C"/>
    <w:rsid w:val="00DF6BDD"/>
    <w:rsid w:val="00E0099C"/>
    <w:rsid w:val="00E0206A"/>
    <w:rsid w:val="00E031A0"/>
    <w:rsid w:val="00E03591"/>
    <w:rsid w:val="00E043AB"/>
    <w:rsid w:val="00E05DA3"/>
    <w:rsid w:val="00E10CFB"/>
    <w:rsid w:val="00E10E28"/>
    <w:rsid w:val="00E12CB9"/>
    <w:rsid w:val="00E14152"/>
    <w:rsid w:val="00E1799B"/>
    <w:rsid w:val="00E22EB9"/>
    <w:rsid w:val="00E23290"/>
    <w:rsid w:val="00E23A3B"/>
    <w:rsid w:val="00E25688"/>
    <w:rsid w:val="00E25DB7"/>
    <w:rsid w:val="00E2631E"/>
    <w:rsid w:val="00E278C2"/>
    <w:rsid w:val="00E30BC6"/>
    <w:rsid w:val="00E31C5D"/>
    <w:rsid w:val="00E31E49"/>
    <w:rsid w:val="00E340F8"/>
    <w:rsid w:val="00E369BD"/>
    <w:rsid w:val="00E466BF"/>
    <w:rsid w:val="00E46DBC"/>
    <w:rsid w:val="00E54245"/>
    <w:rsid w:val="00E550EF"/>
    <w:rsid w:val="00E55C2E"/>
    <w:rsid w:val="00E56467"/>
    <w:rsid w:val="00E63A82"/>
    <w:rsid w:val="00E65F4A"/>
    <w:rsid w:val="00E70750"/>
    <w:rsid w:val="00E71EE6"/>
    <w:rsid w:val="00E73830"/>
    <w:rsid w:val="00E753DE"/>
    <w:rsid w:val="00E75AD7"/>
    <w:rsid w:val="00E81E99"/>
    <w:rsid w:val="00E832C4"/>
    <w:rsid w:val="00E83E95"/>
    <w:rsid w:val="00E85962"/>
    <w:rsid w:val="00E85C25"/>
    <w:rsid w:val="00E85E36"/>
    <w:rsid w:val="00E91BE1"/>
    <w:rsid w:val="00E94522"/>
    <w:rsid w:val="00E957C1"/>
    <w:rsid w:val="00E96551"/>
    <w:rsid w:val="00E97ED3"/>
    <w:rsid w:val="00EA0C0C"/>
    <w:rsid w:val="00EA1882"/>
    <w:rsid w:val="00EA665F"/>
    <w:rsid w:val="00EA79CF"/>
    <w:rsid w:val="00EA7FE4"/>
    <w:rsid w:val="00EB272F"/>
    <w:rsid w:val="00EB4303"/>
    <w:rsid w:val="00EB47B6"/>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5246"/>
    <w:rsid w:val="00EE5F37"/>
    <w:rsid w:val="00EE6736"/>
    <w:rsid w:val="00EF1FAC"/>
    <w:rsid w:val="00EF2848"/>
    <w:rsid w:val="00EF3FDE"/>
    <w:rsid w:val="00EF6DE0"/>
    <w:rsid w:val="00F00714"/>
    <w:rsid w:val="00F02F32"/>
    <w:rsid w:val="00F0325C"/>
    <w:rsid w:val="00F04613"/>
    <w:rsid w:val="00F10C93"/>
    <w:rsid w:val="00F10E73"/>
    <w:rsid w:val="00F10E8D"/>
    <w:rsid w:val="00F132FE"/>
    <w:rsid w:val="00F15276"/>
    <w:rsid w:val="00F16BA1"/>
    <w:rsid w:val="00F17625"/>
    <w:rsid w:val="00F1784C"/>
    <w:rsid w:val="00F22253"/>
    <w:rsid w:val="00F2381F"/>
    <w:rsid w:val="00F23826"/>
    <w:rsid w:val="00F2643F"/>
    <w:rsid w:val="00F270E8"/>
    <w:rsid w:val="00F323B3"/>
    <w:rsid w:val="00F3701C"/>
    <w:rsid w:val="00F46035"/>
    <w:rsid w:val="00F47AFD"/>
    <w:rsid w:val="00F51510"/>
    <w:rsid w:val="00F537DE"/>
    <w:rsid w:val="00F6151D"/>
    <w:rsid w:val="00F66613"/>
    <w:rsid w:val="00F7177C"/>
    <w:rsid w:val="00F7242D"/>
    <w:rsid w:val="00F77956"/>
    <w:rsid w:val="00F8038A"/>
    <w:rsid w:val="00F83EA7"/>
    <w:rsid w:val="00F85C8A"/>
    <w:rsid w:val="00F90259"/>
    <w:rsid w:val="00F91642"/>
    <w:rsid w:val="00F92F3E"/>
    <w:rsid w:val="00FB165F"/>
    <w:rsid w:val="00FB467B"/>
    <w:rsid w:val="00FB7B4C"/>
    <w:rsid w:val="00FB7E1D"/>
    <w:rsid w:val="00FC2009"/>
    <w:rsid w:val="00FC56D7"/>
    <w:rsid w:val="00FC6E5B"/>
    <w:rsid w:val="00FD0321"/>
    <w:rsid w:val="00FD2EFA"/>
    <w:rsid w:val="00FD5922"/>
    <w:rsid w:val="00FD6725"/>
    <w:rsid w:val="00FD6B1F"/>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9E8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3D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EB4303"/>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4303"/>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EB4303"/>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4303"/>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247B8B"/>
    <w:pPr>
      <w:spacing w:after="100" w:line="276" w:lineRule="auto"/>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customStyle="1" w:styleId="m2196580521465074192msolistparagraph">
    <w:name w:val="m2196580521465074192msolistparagraph"/>
    <w:basedOn w:val="Normal"/>
    <w:rsid w:val="0094331C"/>
    <w:pPr>
      <w:spacing w:before="100" w:beforeAutospacing="1" w:after="100" w:afterAutospacing="1" w:line="240" w:lineRule="auto"/>
    </w:pPr>
    <w:rPr>
      <w:rFonts w:eastAsiaTheme="minorHAnsi"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3D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EB4303"/>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4303"/>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EB4303"/>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4303"/>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247B8B"/>
    <w:pPr>
      <w:spacing w:after="100" w:line="276" w:lineRule="auto"/>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customStyle="1" w:styleId="m2196580521465074192msolistparagraph">
    <w:name w:val="m2196580521465074192msolistparagraph"/>
    <w:basedOn w:val="Normal"/>
    <w:rsid w:val="0094331C"/>
    <w:pPr>
      <w:spacing w:before="100" w:beforeAutospacing="1" w:after="100" w:afterAutospacing="1" w:line="240" w:lineRule="auto"/>
    </w:pPr>
    <w:rPr>
      <w:rFonts w:eastAsiaTheme="minorHAnsi"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5814">
      <w:bodyDiv w:val="1"/>
      <w:marLeft w:val="0"/>
      <w:marRight w:val="0"/>
      <w:marTop w:val="0"/>
      <w:marBottom w:val="0"/>
      <w:divBdr>
        <w:top w:val="none" w:sz="0" w:space="0" w:color="auto"/>
        <w:left w:val="none" w:sz="0" w:space="0" w:color="auto"/>
        <w:bottom w:val="none" w:sz="0" w:space="0" w:color="auto"/>
        <w:right w:val="none" w:sz="0" w:space="0" w:color="auto"/>
      </w:divBdr>
    </w:div>
    <w:div w:id="34896219">
      <w:bodyDiv w:val="1"/>
      <w:marLeft w:val="0"/>
      <w:marRight w:val="0"/>
      <w:marTop w:val="0"/>
      <w:marBottom w:val="0"/>
      <w:divBdr>
        <w:top w:val="none" w:sz="0" w:space="0" w:color="auto"/>
        <w:left w:val="none" w:sz="0" w:space="0" w:color="auto"/>
        <w:bottom w:val="none" w:sz="0" w:space="0" w:color="auto"/>
        <w:right w:val="none" w:sz="0" w:space="0" w:color="auto"/>
      </w:divBdr>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166097031">
      <w:bodyDiv w:val="1"/>
      <w:marLeft w:val="0"/>
      <w:marRight w:val="0"/>
      <w:marTop w:val="0"/>
      <w:marBottom w:val="0"/>
      <w:divBdr>
        <w:top w:val="none" w:sz="0" w:space="0" w:color="auto"/>
        <w:left w:val="none" w:sz="0" w:space="0" w:color="auto"/>
        <w:bottom w:val="none" w:sz="0" w:space="0" w:color="auto"/>
        <w:right w:val="none" w:sz="0" w:space="0" w:color="auto"/>
      </w:divBdr>
    </w:div>
    <w:div w:id="373652165">
      <w:bodyDiv w:val="1"/>
      <w:marLeft w:val="0"/>
      <w:marRight w:val="0"/>
      <w:marTop w:val="0"/>
      <w:marBottom w:val="0"/>
      <w:divBdr>
        <w:top w:val="none" w:sz="0" w:space="0" w:color="auto"/>
        <w:left w:val="none" w:sz="0" w:space="0" w:color="auto"/>
        <w:bottom w:val="none" w:sz="0" w:space="0" w:color="auto"/>
        <w:right w:val="none" w:sz="0" w:space="0" w:color="auto"/>
      </w:divBdr>
      <w:divsChild>
        <w:div w:id="754594025">
          <w:marLeft w:val="547"/>
          <w:marRight w:val="0"/>
          <w:marTop w:val="0"/>
          <w:marBottom w:val="0"/>
          <w:divBdr>
            <w:top w:val="none" w:sz="0" w:space="0" w:color="auto"/>
            <w:left w:val="none" w:sz="0" w:space="0" w:color="auto"/>
            <w:bottom w:val="none" w:sz="0" w:space="0" w:color="auto"/>
            <w:right w:val="none" w:sz="0" w:space="0" w:color="auto"/>
          </w:divBdr>
        </w:div>
        <w:div w:id="1304314050">
          <w:marLeft w:val="547"/>
          <w:marRight w:val="0"/>
          <w:marTop w:val="0"/>
          <w:marBottom w:val="0"/>
          <w:divBdr>
            <w:top w:val="none" w:sz="0" w:space="0" w:color="auto"/>
            <w:left w:val="none" w:sz="0" w:space="0" w:color="auto"/>
            <w:bottom w:val="none" w:sz="0" w:space="0" w:color="auto"/>
            <w:right w:val="none" w:sz="0" w:space="0" w:color="auto"/>
          </w:divBdr>
        </w:div>
        <w:div w:id="1568149894">
          <w:marLeft w:val="547"/>
          <w:marRight w:val="0"/>
          <w:marTop w:val="0"/>
          <w:marBottom w:val="0"/>
          <w:divBdr>
            <w:top w:val="none" w:sz="0" w:space="0" w:color="auto"/>
            <w:left w:val="none" w:sz="0" w:space="0" w:color="auto"/>
            <w:bottom w:val="none" w:sz="0" w:space="0" w:color="auto"/>
            <w:right w:val="none" w:sz="0" w:space="0" w:color="auto"/>
          </w:divBdr>
        </w:div>
        <w:div w:id="1745250848">
          <w:marLeft w:val="547"/>
          <w:marRight w:val="0"/>
          <w:marTop w:val="0"/>
          <w:marBottom w:val="0"/>
          <w:divBdr>
            <w:top w:val="none" w:sz="0" w:space="0" w:color="auto"/>
            <w:left w:val="none" w:sz="0" w:space="0" w:color="auto"/>
            <w:bottom w:val="none" w:sz="0" w:space="0" w:color="auto"/>
            <w:right w:val="none" w:sz="0" w:space="0" w:color="auto"/>
          </w:divBdr>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111239899">
      <w:bodyDiv w:val="1"/>
      <w:marLeft w:val="0"/>
      <w:marRight w:val="0"/>
      <w:marTop w:val="0"/>
      <w:marBottom w:val="0"/>
      <w:divBdr>
        <w:top w:val="none" w:sz="0" w:space="0" w:color="auto"/>
        <w:left w:val="none" w:sz="0" w:space="0" w:color="auto"/>
        <w:bottom w:val="none" w:sz="0" w:space="0" w:color="auto"/>
        <w:right w:val="none" w:sz="0" w:space="0" w:color="auto"/>
      </w:divBdr>
      <w:divsChild>
        <w:div w:id="542520235">
          <w:marLeft w:val="547"/>
          <w:marRight w:val="0"/>
          <w:marTop w:val="0"/>
          <w:marBottom w:val="0"/>
          <w:divBdr>
            <w:top w:val="none" w:sz="0" w:space="0" w:color="auto"/>
            <w:left w:val="none" w:sz="0" w:space="0" w:color="auto"/>
            <w:bottom w:val="none" w:sz="0" w:space="0" w:color="auto"/>
            <w:right w:val="none" w:sz="0" w:space="0" w:color="auto"/>
          </w:divBdr>
        </w:div>
        <w:div w:id="886723254">
          <w:marLeft w:val="547"/>
          <w:marRight w:val="0"/>
          <w:marTop w:val="0"/>
          <w:marBottom w:val="0"/>
          <w:divBdr>
            <w:top w:val="none" w:sz="0" w:space="0" w:color="auto"/>
            <w:left w:val="none" w:sz="0" w:space="0" w:color="auto"/>
            <w:bottom w:val="none" w:sz="0" w:space="0" w:color="auto"/>
            <w:right w:val="none" w:sz="0" w:space="0" w:color="auto"/>
          </w:divBdr>
        </w:div>
        <w:div w:id="1035692670">
          <w:marLeft w:val="547"/>
          <w:marRight w:val="0"/>
          <w:marTop w:val="0"/>
          <w:marBottom w:val="0"/>
          <w:divBdr>
            <w:top w:val="none" w:sz="0" w:space="0" w:color="auto"/>
            <w:left w:val="none" w:sz="0" w:space="0" w:color="auto"/>
            <w:bottom w:val="none" w:sz="0" w:space="0" w:color="auto"/>
            <w:right w:val="none" w:sz="0" w:space="0" w:color="auto"/>
          </w:divBdr>
        </w:div>
        <w:div w:id="1539009570">
          <w:marLeft w:val="547"/>
          <w:marRight w:val="0"/>
          <w:marTop w:val="0"/>
          <w:marBottom w:val="0"/>
          <w:divBdr>
            <w:top w:val="none" w:sz="0" w:space="0" w:color="auto"/>
            <w:left w:val="none" w:sz="0" w:space="0" w:color="auto"/>
            <w:bottom w:val="none" w:sz="0" w:space="0" w:color="auto"/>
            <w:right w:val="none" w:sz="0" w:space="0" w:color="auto"/>
          </w:divBdr>
        </w:div>
      </w:divsChild>
    </w:div>
    <w:div w:id="1244486623">
      <w:bodyDiv w:val="1"/>
      <w:marLeft w:val="0"/>
      <w:marRight w:val="0"/>
      <w:marTop w:val="0"/>
      <w:marBottom w:val="0"/>
      <w:divBdr>
        <w:top w:val="none" w:sz="0" w:space="0" w:color="auto"/>
        <w:left w:val="none" w:sz="0" w:space="0" w:color="auto"/>
        <w:bottom w:val="none" w:sz="0" w:space="0" w:color="auto"/>
        <w:right w:val="none" w:sz="0" w:space="0" w:color="auto"/>
      </w:divBdr>
    </w:div>
    <w:div w:id="1623345089">
      <w:bodyDiv w:val="1"/>
      <w:marLeft w:val="0"/>
      <w:marRight w:val="0"/>
      <w:marTop w:val="0"/>
      <w:marBottom w:val="0"/>
      <w:divBdr>
        <w:top w:val="none" w:sz="0" w:space="0" w:color="auto"/>
        <w:left w:val="none" w:sz="0" w:space="0" w:color="auto"/>
        <w:bottom w:val="none" w:sz="0" w:space="0" w:color="auto"/>
        <w:right w:val="none" w:sz="0" w:space="0" w:color="auto"/>
      </w:divBdr>
    </w:div>
    <w:div w:id="1633443349">
      <w:bodyDiv w:val="1"/>
      <w:marLeft w:val="0"/>
      <w:marRight w:val="0"/>
      <w:marTop w:val="0"/>
      <w:marBottom w:val="0"/>
      <w:divBdr>
        <w:top w:val="none" w:sz="0" w:space="0" w:color="auto"/>
        <w:left w:val="none" w:sz="0" w:space="0" w:color="auto"/>
        <w:bottom w:val="none" w:sz="0" w:space="0" w:color="auto"/>
        <w:right w:val="none" w:sz="0" w:space="0" w:color="auto"/>
      </w:divBdr>
      <w:divsChild>
        <w:div w:id="889151424">
          <w:marLeft w:val="547"/>
          <w:marRight w:val="0"/>
          <w:marTop w:val="115"/>
          <w:marBottom w:val="0"/>
          <w:divBdr>
            <w:top w:val="none" w:sz="0" w:space="0" w:color="auto"/>
            <w:left w:val="none" w:sz="0" w:space="0" w:color="auto"/>
            <w:bottom w:val="none" w:sz="0" w:space="0" w:color="auto"/>
            <w:right w:val="none" w:sz="0" w:space="0" w:color="auto"/>
          </w:divBdr>
        </w:div>
        <w:div w:id="1369448978">
          <w:marLeft w:val="547"/>
          <w:marRight w:val="0"/>
          <w:marTop w:val="115"/>
          <w:marBottom w:val="0"/>
          <w:divBdr>
            <w:top w:val="none" w:sz="0" w:space="0" w:color="auto"/>
            <w:left w:val="none" w:sz="0" w:space="0" w:color="auto"/>
            <w:bottom w:val="none" w:sz="0" w:space="0" w:color="auto"/>
            <w:right w:val="none" w:sz="0" w:space="0" w:color="auto"/>
          </w:divBdr>
        </w:div>
        <w:div w:id="1745180921">
          <w:marLeft w:val="547"/>
          <w:marRight w:val="0"/>
          <w:marTop w:val="115"/>
          <w:marBottom w:val="0"/>
          <w:divBdr>
            <w:top w:val="none" w:sz="0" w:space="0" w:color="auto"/>
            <w:left w:val="none" w:sz="0" w:space="0" w:color="auto"/>
            <w:bottom w:val="none" w:sz="0" w:space="0" w:color="auto"/>
            <w:right w:val="none" w:sz="0" w:space="0" w:color="auto"/>
          </w:divBdr>
        </w:div>
        <w:div w:id="1901671940">
          <w:marLeft w:val="547"/>
          <w:marRight w:val="0"/>
          <w:marTop w:val="115"/>
          <w:marBottom w:val="0"/>
          <w:divBdr>
            <w:top w:val="none" w:sz="0" w:space="0" w:color="auto"/>
            <w:left w:val="none" w:sz="0" w:space="0" w:color="auto"/>
            <w:bottom w:val="none" w:sz="0" w:space="0" w:color="auto"/>
            <w:right w:val="none" w:sz="0" w:space="0" w:color="auto"/>
          </w:divBdr>
        </w:div>
      </w:divsChild>
    </w:div>
    <w:div w:id="1637759966">
      <w:bodyDiv w:val="1"/>
      <w:marLeft w:val="0"/>
      <w:marRight w:val="0"/>
      <w:marTop w:val="0"/>
      <w:marBottom w:val="0"/>
      <w:divBdr>
        <w:top w:val="none" w:sz="0" w:space="0" w:color="auto"/>
        <w:left w:val="none" w:sz="0" w:space="0" w:color="auto"/>
        <w:bottom w:val="none" w:sz="0" w:space="0" w:color="auto"/>
        <w:right w:val="none" w:sz="0" w:space="0" w:color="auto"/>
      </w:divBdr>
    </w:div>
    <w:div w:id="1683164765">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1860967063">
      <w:bodyDiv w:val="1"/>
      <w:marLeft w:val="0"/>
      <w:marRight w:val="0"/>
      <w:marTop w:val="0"/>
      <w:marBottom w:val="0"/>
      <w:divBdr>
        <w:top w:val="none" w:sz="0" w:space="0" w:color="auto"/>
        <w:left w:val="none" w:sz="0" w:space="0" w:color="auto"/>
        <w:bottom w:val="none" w:sz="0" w:space="0" w:color="auto"/>
        <w:right w:val="none" w:sz="0" w:space="0" w:color="auto"/>
      </w:divBdr>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855E08A2-DA96-49C7-85DA-AC30E2E1C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1919</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41</cp:revision>
  <cp:lastPrinted>2019-06-30T09:17:00Z</cp:lastPrinted>
  <dcterms:created xsi:type="dcterms:W3CDTF">2019-06-09T12:42:00Z</dcterms:created>
  <dcterms:modified xsi:type="dcterms:W3CDTF">2019-07-27T04:24:00Z</dcterms:modified>
</cp:coreProperties>
</file>